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436A20">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bookmarkStart w:id="0" w:name="_GoBack"/>
      <w:bookmarkEnd w:id="0"/>
    </w:p>
    <w:p w14:paraId="3326E3AB">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广交会出口展参展企业资格标准</w:t>
      </w:r>
    </w:p>
    <w:p w14:paraId="1EE1811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根据《中国进出口商品交易会出口展品牌展位数量安排办法》《中国进出口商品交易会出口展品牌展位数量安排办法实施细则》和《中国进出口商品交易会出口展一般性展位数量安排办法》，广交会出口展参展企业资格标准为：</w:t>
      </w:r>
    </w:p>
    <w:p w14:paraId="315413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一、企业须依法取得法人营业执照。</w:t>
      </w:r>
    </w:p>
    <w:p w14:paraId="1AF387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二、品牌展位参展企业应持有所有人为中方法人或自然人的有效境外注册商标，其对应展区相关商品近两年平均出口额不低于该展区品牌展位申请企业最低出口额标准（详见附件）。</w:t>
      </w:r>
    </w:p>
    <w:p w14:paraId="4ACE439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三、一般性展位参展企业对应展区出口金额须达到以下最低标准：</w:t>
      </w:r>
    </w:p>
    <w:tbl>
      <w:tblPr>
        <w:tblStyle w:val="3"/>
        <w:tblW w:w="9370" w:type="dxa"/>
        <w:tblInd w:w="0" w:type="dxa"/>
        <w:tblBorders>
          <w:top w:val="single" w:color="34495E" w:sz="2" w:space="0"/>
          <w:left w:val="single" w:color="34495E" w:sz="2" w:space="0"/>
          <w:bottom w:val="single" w:color="34495E" w:sz="2" w:space="0"/>
          <w:right w:val="single" w:color="34495E" w:sz="2"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833"/>
        <w:gridCol w:w="3465"/>
        <w:gridCol w:w="3072"/>
      </w:tblGrid>
      <w:tr w14:paraId="0D4D58E6">
        <w:tblPrEx>
          <w:tblBorders>
            <w:top w:val="single" w:color="34495E" w:sz="2" w:space="0"/>
            <w:left w:val="single" w:color="34495E" w:sz="2" w:space="0"/>
            <w:bottom w:val="single" w:color="34495E" w:sz="2" w:space="0"/>
            <w:right w:val="single" w:color="34495E" w:sz="2" w:space="0"/>
            <w:insideH w:val="none" w:color="auto" w:sz="0" w:space="0"/>
            <w:insideV w:val="none" w:color="auto" w:sz="0" w:space="0"/>
          </w:tblBorders>
          <w:shd w:val="clear" w:color="auto" w:fill="auto"/>
          <w:tblCellMar>
            <w:top w:w="0" w:type="dxa"/>
            <w:left w:w="0" w:type="dxa"/>
            <w:bottom w:w="0" w:type="dxa"/>
            <w:right w:w="0" w:type="dxa"/>
          </w:tblCellMar>
        </w:tblPrEx>
        <w:trPr>
          <w:trHeight w:val="810" w:hRule="atLeast"/>
        </w:trPr>
        <w:tc>
          <w:tcPr>
            <w:tcW w:w="2833"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E62246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b/>
                <w:bCs/>
                <w:sz w:val="32"/>
                <w:szCs w:val="32"/>
              </w:rPr>
            </w:pPr>
            <w:r>
              <w:rPr>
                <w:rFonts w:hint="eastAsia" w:ascii="宋体" w:hAnsi="宋体" w:eastAsia="仿宋_GB2312" w:cs="仿宋_GB2312"/>
                <w:b/>
                <w:bCs/>
                <w:sz w:val="32"/>
                <w:szCs w:val="32"/>
              </w:rPr>
              <w:t>地区</w:t>
            </w:r>
          </w:p>
        </w:tc>
        <w:tc>
          <w:tcPr>
            <w:tcW w:w="34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A36A30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宋体" w:hAnsi="宋体" w:eastAsia="仿宋_GB2312" w:cs="仿宋_GB2312"/>
                <w:b/>
                <w:bCs/>
                <w:sz w:val="32"/>
                <w:szCs w:val="32"/>
              </w:rPr>
            </w:pPr>
            <w:r>
              <w:rPr>
                <w:rFonts w:hint="eastAsia" w:ascii="宋体" w:hAnsi="宋体" w:eastAsia="仿宋_GB2312" w:cs="仿宋_GB2312"/>
                <w:b/>
                <w:bCs/>
                <w:sz w:val="32"/>
                <w:szCs w:val="32"/>
              </w:rPr>
              <w:t>企业类型</w:t>
            </w:r>
          </w:p>
        </w:tc>
        <w:tc>
          <w:tcPr>
            <w:tcW w:w="307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DE2FBC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b/>
                <w:bCs/>
                <w:sz w:val="32"/>
                <w:szCs w:val="32"/>
              </w:rPr>
            </w:pPr>
            <w:r>
              <w:rPr>
                <w:rFonts w:hint="eastAsia" w:ascii="宋体" w:hAnsi="宋体" w:eastAsia="仿宋_GB2312" w:cs="仿宋_GB2312"/>
                <w:b/>
                <w:bCs/>
                <w:sz w:val="32"/>
                <w:szCs w:val="32"/>
              </w:rPr>
              <w:t>金额（万美元）</w:t>
            </w:r>
          </w:p>
        </w:tc>
      </w:tr>
      <w:tr w14:paraId="7D85E38B">
        <w:tblPrEx>
          <w:tblBorders>
            <w:top w:val="single" w:color="34495E" w:sz="2" w:space="0"/>
            <w:left w:val="single" w:color="34495E" w:sz="2" w:space="0"/>
            <w:bottom w:val="single" w:color="34495E" w:sz="2" w:space="0"/>
            <w:right w:val="single" w:color="34495E" w:sz="2" w:space="0"/>
            <w:insideH w:val="none" w:color="auto" w:sz="0" w:space="0"/>
            <w:insideV w:val="none" w:color="auto" w:sz="0" w:space="0"/>
          </w:tblBorders>
          <w:shd w:val="clear" w:color="auto" w:fill="auto"/>
          <w:tblCellMar>
            <w:top w:w="0" w:type="dxa"/>
            <w:left w:w="0" w:type="dxa"/>
            <w:bottom w:w="0" w:type="dxa"/>
            <w:right w:w="0" w:type="dxa"/>
          </w:tblCellMar>
        </w:tblPrEx>
        <w:trPr>
          <w:trHeight w:val="564" w:hRule="atLeast"/>
        </w:trPr>
        <w:tc>
          <w:tcPr>
            <w:tcW w:w="2833"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725E8A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沿海</w:t>
            </w:r>
          </w:p>
        </w:tc>
        <w:tc>
          <w:tcPr>
            <w:tcW w:w="34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F37A9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流通型</w:t>
            </w:r>
          </w:p>
        </w:tc>
        <w:tc>
          <w:tcPr>
            <w:tcW w:w="307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1CA5FDC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150</w:t>
            </w:r>
          </w:p>
        </w:tc>
      </w:tr>
      <w:tr w14:paraId="25A7DB6A">
        <w:tblPrEx>
          <w:tblBorders>
            <w:top w:val="single" w:color="34495E" w:sz="2" w:space="0"/>
            <w:left w:val="single" w:color="34495E" w:sz="2" w:space="0"/>
            <w:bottom w:val="single" w:color="34495E" w:sz="2" w:space="0"/>
            <w:right w:val="single" w:color="34495E" w:sz="2" w:space="0"/>
            <w:insideH w:val="none" w:color="auto" w:sz="0" w:space="0"/>
            <w:insideV w:val="none" w:color="auto" w:sz="0" w:space="0"/>
          </w:tblBorders>
          <w:shd w:val="clear" w:color="auto" w:fill="auto"/>
          <w:tblCellMar>
            <w:top w:w="0" w:type="dxa"/>
            <w:left w:w="0" w:type="dxa"/>
            <w:bottom w:w="0" w:type="dxa"/>
            <w:right w:w="0" w:type="dxa"/>
          </w:tblCellMar>
        </w:tblPrEx>
        <w:trPr>
          <w:trHeight w:val="615" w:hRule="atLeast"/>
        </w:trPr>
        <w:tc>
          <w:tcPr>
            <w:tcW w:w="2833" w:type="dxa"/>
            <w:tcBorders>
              <w:top w:val="single" w:color="000000" w:sz="2" w:space="0"/>
              <w:left w:val="single" w:color="000000" w:sz="2" w:space="0"/>
              <w:bottom w:val="single" w:color="000000" w:sz="2" w:space="0"/>
              <w:right w:val="single" w:color="000000" w:sz="2" w:space="0"/>
            </w:tcBorders>
            <w:shd w:val="clear" w:color="auto" w:fill="auto"/>
            <w:vAlign w:val="center"/>
          </w:tcPr>
          <w:p w14:paraId="337816C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沿海</w:t>
            </w:r>
          </w:p>
        </w:tc>
        <w:tc>
          <w:tcPr>
            <w:tcW w:w="34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3DCFB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非流通型</w:t>
            </w:r>
          </w:p>
        </w:tc>
        <w:tc>
          <w:tcPr>
            <w:tcW w:w="307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3D95358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75</w:t>
            </w:r>
          </w:p>
        </w:tc>
      </w:tr>
      <w:tr w14:paraId="49229625">
        <w:tblPrEx>
          <w:tblBorders>
            <w:top w:val="single" w:color="34495E" w:sz="2" w:space="0"/>
            <w:left w:val="single" w:color="34495E" w:sz="2" w:space="0"/>
            <w:bottom w:val="single" w:color="34495E" w:sz="2" w:space="0"/>
            <w:right w:val="single" w:color="34495E" w:sz="2" w:space="0"/>
            <w:insideH w:val="none" w:color="auto" w:sz="0" w:space="0"/>
            <w:insideV w:val="none" w:color="auto" w:sz="0" w:space="0"/>
          </w:tblBorders>
          <w:shd w:val="clear" w:color="auto" w:fill="auto"/>
          <w:tblCellMar>
            <w:top w:w="0" w:type="dxa"/>
            <w:left w:w="0" w:type="dxa"/>
            <w:bottom w:w="0" w:type="dxa"/>
            <w:right w:w="0" w:type="dxa"/>
          </w:tblCellMar>
        </w:tblPrEx>
        <w:trPr>
          <w:trHeight w:val="810" w:hRule="atLeast"/>
        </w:trPr>
        <w:tc>
          <w:tcPr>
            <w:tcW w:w="2833"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6AFA9B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中部及东北</w:t>
            </w:r>
          </w:p>
        </w:tc>
        <w:tc>
          <w:tcPr>
            <w:tcW w:w="34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35CAF1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流通型</w:t>
            </w:r>
          </w:p>
        </w:tc>
        <w:tc>
          <w:tcPr>
            <w:tcW w:w="307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42E1C72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75</w:t>
            </w:r>
          </w:p>
        </w:tc>
      </w:tr>
      <w:tr w14:paraId="514C3FBD">
        <w:tblPrEx>
          <w:tblBorders>
            <w:top w:val="single" w:color="34495E" w:sz="2" w:space="0"/>
            <w:left w:val="single" w:color="34495E" w:sz="2" w:space="0"/>
            <w:bottom w:val="single" w:color="34495E" w:sz="2" w:space="0"/>
            <w:right w:val="single" w:color="34495E" w:sz="2" w:space="0"/>
            <w:insideH w:val="none" w:color="auto" w:sz="0" w:space="0"/>
            <w:insideV w:val="none" w:color="auto" w:sz="0" w:space="0"/>
          </w:tblBorders>
          <w:shd w:val="clear" w:color="auto" w:fill="auto"/>
          <w:tblCellMar>
            <w:top w:w="0" w:type="dxa"/>
            <w:left w:w="0" w:type="dxa"/>
            <w:bottom w:w="0" w:type="dxa"/>
            <w:right w:w="0" w:type="dxa"/>
          </w:tblCellMar>
        </w:tblPrEx>
        <w:trPr>
          <w:trHeight w:val="810" w:hRule="atLeast"/>
        </w:trPr>
        <w:tc>
          <w:tcPr>
            <w:tcW w:w="2833"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9F3D6C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中部及东北</w:t>
            </w:r>
          </w:p>
        </w:tc>
        <w:tc>
          <w:tcPr>
            <w:tcW w:w="34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36515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非流通型</w:t>
            </w:r>
          </w:p>
        </w:tc>
        <w:tc>
          <w:tcPr>
            <w:tcW w:w="307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1CA21C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40</w:t>
            </w:r>
          </w:p>
        </w:tc>
      </w:tr>
      <w:tr w14:paraId="046A43B4">
        <w:tblPrEx>
          <w:tblBorders>
            <w:top w:val="single" w:color="34495E" w:sz="2" w:space="0"/>
            <w:left w:val="single" w:color="34495E" w:sz="2" w:space="0"/>
            <w:bottom w:val="single" w:color="34495E" w:sz="2" w:space="0"/>
            <w:right w:val="single" w:color="34495E" w:sz="2" w:space="0"/>
            <w:insideH w:val="none" w:color="auto" w:sz="0" w:space="0"/>
            <w:insideV w:val="none" w:color="auto" w:sz="0" w:space="0"/>
          </w:tblBorders>
          <w:shd w:val="clear" w:color="auto" w:fill="auto"/>
          <w:tblCellMar>
            <w:top w:w="0" w:type="dxa"/>
            <w:left w:w="0" w:type="dxa"/>
            <w:bottom w:w="0" w:type="dxa"/>
            <w:right w:w="0" w:type="dxa"/>
          </w:tblCellMar>
        </w:tblPrEx>
        <w:trPr>
          <w:trHeight w:val="810" w:hRule="atLeast"/>
        </w:trPr>
        <w:tc>
          <w:tcPr>
            <w:tcW w:w="2833" w:type="dxa"/>
            <w:tcBorders>
              <w:top w:val="single" w:color="000000" w:sz="2" w:space="0"/>
              <w:left w:val="single" w:color="000000" w:sz="2" w:space="0"/>
              <w:bottom w:val="single" w:color="000000" w:sz="2" w:space="0"/>
              <w:right w:val="single" w:color="000000" w:sz="2" w:space="0"/>
            </w:tcBorders>
            <w:shd w:val="clear" w:color="auto" w:fill="auto"/>
            <w:vAlign w:val="center"/>
          </w:tcPr>
          <w:p w14:paraId="7E20E34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西部</w:t>
            </w:r>
          </w:p>
        </w:tc>
        <w:tc>
          <w:tcPr>
            <w:tcW w:w="34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0063B62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流通型</w:t>
            </w:r>
          </w:p>
        </w:tc>
        <w:tc>
          <w:tcPr>
            <w:tcW w:w="307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E01F4F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40</w:t>
            </w:r>
          </w:p>
        </w:tc>
      </w:tr>
      <w:tr w14:paraId="0FEA8347">
        <w:tblPrEx>
          <w:tblBorders>
            <w:top w:val="single" w:color="34495E" w:sz="2" w:space="0"/>
            <w:left w:val="single" w:color="34495E" w:sz="2" w:space="0"/>
            <w:bottom w:val="single" w:color="34495E" w:sz="2" w:space="0"/>
            <w:right w:val="single" w:color="34495E" w:sz="2" w:space="0"/>
            <w:insideH w:val="none" w:color="auto" w:sz="0" w:space="0"/>
            <w:insideV w:val="none" w:color="auto" w:sz="0" w:space="0"/>
          </w:tblBorders>
          <w:tblCellMar>
            <w:top w:w="0" w:type="dxa"/>
            <w:left w:w="0" w:type="dxa"/>
            <w:bottom w:w="0" w:type="dxa"/>
            <w:right w:w="0" w:type="dxa"/>
          </w:tblCellMar>
        </w:tblPrEx>
        <w:trPr>
          <w:trHeight w:val="810" w:hRule="atLeast"/>
        </w:trPr>
        <w:tc>
          <w:tcPr>
            <w:tcW w:w="2833" w:type="dxa"/>
            <w:tcBorders>
              <w:top w:val="single" w:color="000000" w:sz="2" w:space="0"/>
              <w:left w:val="single" w:color="000000" w:sz="2" w:space="0"/>
              <w:bottom w:val="single" w:color="000000" w:sz="2" w:space="0"/>
              <w:right w:val="single" w:color="000000" w:sz="2" w:space="0"/>
            </w:tcBorders>
            <w:shd w:val="clear" w:color="auto" w:fill="auto"/>
            <w:vAlign w:val="center"/>
          </w:tcPr>
          <w:p w14:paraId="6486F0A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西部</w:t>
            </w:r>
          </w:p>
        </w:tc>
        <w:tc>
          <w:tcPr>
            <w:tcW w:w="3465" w:type="dxa"/>
            <w:tcBorders>
              <w:top w:val="single" w:color="000000" w:sz="2" w:space="0"/>
              <w:left w:val="single" w:color="000000" w:sz="2" w:space="0"/>
              <w:bottom w:val="single" w:color="000000" w:sz="2" w:space="0"/>
              <w:right w:val="single" w:color="000000" w:sz="2" w:space="0"/>
            </w:tcBorders>
            <w:shd w:val="clear" w:color="auto" w:fill="auto"/>
            <w:vAlign w:val="center"/>
          </w:tcPr>
          <w:p w14:paraId="2DFECF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非流通型</w:t>
            </w:r>
          </w:p>
        </w:tc>
        <w:tc>
          <w:tcPr>
            <w:tcW w:w="3072" w:type="dxa"/>
            <w:tcBorders>
              <w:top w:val="single" w:color="000000" w:sz="2" w:space="0"/>
              <w:left w:val="single" w:color="000000" w:sz="2" w:space="0"/>
              <w:bottom w:val="single" w:color="000000" w:sz="2" w:space="0"/>
              <w:right w:val="single" w:color="000000" w:sz="2" w:space="0"/>
            </w:tcBorders>
            <w:shd w:val="clear" w:color="auto" w:fill="auto"/>
            <w:vAlign w:val="center"/>
          </w:tcPr>
          <w:p w14:paraId="56AD89A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仿宋_GB2312" w:cs="仿宋_GB2312"/>
                <w:sz w:val="32"/>
                <w:szCs w:val="32"/>
              </w:rPr>
            </w:pPr>
            <w:r>
              <w:rPr>
                <w:rFonts w:hint="eastAsia" w:ascii="宋体" w:hAnsi="宋体" w:eastAsia="仿宋_GB2312" w:cs="仿宋_GB2312"/>
                <w:sz w:val="32"/>
                <w:szCs w:val="32"/>
              </w:rPr>
              <w:t>20</w:t>
            </w:r>
          </w:p>
        </w:tc>
      </w:tr>
    </w:tbl>
    <w:p w14:paraId="6AD4F40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四、为扶持有发展潜力的新企业或中小企业发展，各交易团可在各展区中安排一定比例 (最多不超过本交易团在该展区参展企业总数的 20% ) 符合第一点规定，但未达到第三点规定的最低出口额要求的企业参展。</w:t>
      </w:r>
    </w:p>
    <w:p w14:paraId="39CDE51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五、属下列情况之一的企业禁止参展：</w:t>
      </w:r>
    </w:p>
    <w:p w14:paraId="2F0CEE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（一）商务部向社会公告的违规违法企业，在公告期内禁止参展。</w:t>
      </w:r>
    </w:p>
    <w:p w14:paraId="3377CC5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二）国家商务、环保、卫生、人力资源和社会保障、海关、税务、市场监管（知识产权）、外汇、安监、药监等部门通报、公告或处罚的违规违法企业，且在通报、公告或处罚期限内的；无明确期限的，按通报、公告或处罚之日起连续六届禁止参展。自上次品牌评审以来被司法机关、仲裁机关或知识产权行政管理机关认定侵权的，禁止申请品牌展位。伪造品牌展位申请材料的，在下次品牌展位全面评审前，禁止申请和使用品牌展位。</w:t>
      </w:r>
    </w:p>
    <w:p w14:paraId="4E5C8F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（三）因违规转让或转租（卖）广交会展位，涉及贸易纠纷投诉，涉嫌侵犯知识产权，或违反广交会其他规定，被广交会取消参展资格并处于处罚期限内的。</w:t>
      </w:r>
    </w:p>
    <w:p w14:paraId="0BB19C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（四）因参展表现恶劣、拒不服从广交会管理、破坏展览秩序，或违反其他广交会相关规定，对广交会声誉或正常运营造成较大不良影响，被广交会处罚并处于处罚期限内的。</w:t>
      </w:r>
    </w:p>
    <w:p w14:paraId="352826A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  五、属下列情况之一的展品禁止参展：</w:t>
      </w:r>
    </w:p>
    <w:p w14:paraId="0B1AE4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（一）《中国进出口商品交易会出口展参展展品范围（出口展）》规定之外的展品；</w:t>
      </w:r>
    </w:p>
    <w:p w14:paraId="758263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（二）不符合《中华人民共和国产品质量法》、《中华人民共和国进出口商品检验法》及其他有关出口产品质量法律法规规定的展品；</w:t>
      </w:r>
    </w:p>
    <w:p w14:paraId="4B39E9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（三）涉及商标、专利、版权，但未取得合法权利证书或使用许可合同的展品；</w:t>
      </w:r>
    </w:p>
    <w:p w14:paraId="4C5F02A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（四）在商务、海关、市场监管（知识产权）、药监等部门有不良记录且未经复检合格的展品；</w:t>
      </w:r>
    </w:p>
    <w:p w14:paraId="720DC96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（五）被司法机关或知识产权行政管理机关认定侵权的展品。</w:t>
      </w:r>
    </w:p>
    <w:p w14:paraId="4B1C749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六、参展企业须承诺接受和遵守广交会出口展的有关规章制度，包括《广交会出口展参展责任书》《中国进出口商品交易会出口展参展须知》《中国进出口商品交易会出口展参展商服务指南》，广交会线上平台《广交会展商线上行为准则》《用户服务协议》等。</w:t>
      </w:r>
    </w:p>
    <w:p w14:paraId="75EF656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I2NDE5Y2M4NDUzYWNiZGRjZmFlNWU3ODRlYjBjZjAifQ=="/>
  </w:docVars>
  <w:rsids>
    <w:rsidRoot w:val="00000000"/>
    <w:rsid w:val="1B420A3F"/>
    <w:rsid w:val="5ACE4499"/>
    <w:rsid w:val="704E45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1109</Words>
  <Characters>1118</Characters>
  <Lines>0</Lines>
  <Paragraphs>0</Paragraphs>
  <TotalTime>11</TotalTime>
  <ScaleCrop>false</ScaleCrop>
  <LinksUpToDate>false</LinksUpToDate>
  <CharactersWithSpaces>1124</CharactersWithSpaces>
  <Application>WPS Office_12.1.0.18372_F1E327BC-269C-435d-A152-05C5408002CA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2023-11-13T09:41:00Z</dcterms:created>
  <dc:creator>18663</dc:creator>
  <cp:lastModifiedBy>宇 </cp:lastModifiedBy>
  <dcterms:modified xsi:type="dcterms:W3CDTF">2024-11-26T14:30:25Z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2052-12.1.0.18372</vt:lpwstr>
  </property>
  <property fmtid="{D5CDD505-2E9C-101B-9397-08002B2CF9AE}" pid="3" name="ICV">
    <vt:lpwstr>DB4F2C48C08F4137A42FA5D7B370B9E5_12</vt:lpwstr>
  </property>
</Properties>
</file>