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36A2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bookmarkStart w:id="0" w:name="_GoBack"/>
      <w:bookmarkEnd w:id="0"/>
    </w:p>
    <w:p w14:paraId="3326E3A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广交会出口展参展企业资格标准</w:t>
      </w:r>
    </w:p>
    <w:p w14:paraId="1EE181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中国进出口商品交易会出口展品牌展位数量安排办法》《中国进出口商品交易会出口展品牌展位数量安排办法实施细则》和《中国进出口商品交易会出口展一般性展位数量安排办法》，广交会出口展参展企业资格标准为：</w:t>
      </w:r>
    </w:p>
    <w:p w14:paraId="315413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一、企业须依法取得法人营业执照。</w:t>
      </w:r>
    </w:p>
    <w:p w14:paraId="1AF387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二、品牌展位参展企业应持有所有人为中方法人或自然人的有效境外注册商标，其对应展区相关商品近两年平均出口额不低于该展区品牌展位申请企业最低出口额标准（详见附件）。</w:t>
      </w:r>
    </w:p>
    <w:p w14:paraId="4ACE43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三、一般性展位参展企业对应展区出口金额须达到以下最低标准：</w:t>
      </w:r>
    </w:p>
    <w:tbl>
      <w:tblPr>
        <w:tblStyle w:val="3"/>
        <w:tblW w:w="9370" w:type="dxa"/>
        <w:tblInd w:w="0" w:type="dxa"/>
        <w:tblBorders>
          <w:top w:val="single" w:color="34495E" w:sz="2" w:space="0"/>
          <w:left w:val="single" w:color="34495E" w:sz="2" w:space="0"/>
          <w:bottom w:val="single" w:color="34495E" w:sz="2" w:space="0"/>
          <w:right w:val="single" w:color="34495E"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833"/>
        <w:gridCol w:w="3465"/>
        <w:gridCol w:w="3072"/>
      </w:tblGrid>
      <w:tr w14:paraId="0D4D58E6">
        <w:tblPrEx>
          <w:tblBorders>
            <w:top w:val="single" w:color="34495E" w:sz="2" w:space="0"/>
            <w:left w:val="single" w:color="34495E" w:sz="2" w:space="0"/>
            <w:bottom w:val="single" w:color="34495E" w:sz="2" w:space="0"/>
            <w:right w:val="single" w:color="34495E" w:sz="2" w:space="0"/>
            <w:insideH w:val="none" w:color="auto" w:sz="0" w:space="0"/>
            <w:insideV w:val="none" w:color="auto" w:sz="0" w:space="0"/>
          </w:tblBorders>
          <w:shd w:val="clear" w:color="auto" w:fill="auto"/>
          <w:tblCellMar>
            <w:top w:w="0" w:type="dxa"/>
            <w:left w:w="0" w:type="dxa"/>
            <w:bottom w:w="0" w:type="dxa"/>
            <w:right w:w="0" w:type="dxa"/>
          </w:tblCellMar>
        </w:tblPrEx>
        <w:trPr>
          <w:trHeight w:val="810" w:hRule="atLeast"/>
        </w:trPr>
        <w:tc>
          <w:tcPr>
            <w:tcW w:w="283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6224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b/>
                <w:bCs/>
                <w:sz w:val="32"/>
                <w:szCs w:val="32"/>
              </w:rPr>
            </w:pPr>
            <w:r>
              <w:rPr>
                <w:rFonts w:hint="eastAsia" w:ascii="宋体" w:hAnsi="宋体" w:eastAsia="仿宋_GB2312" w:cs="仿宋_GB2312"/>
                <w:b/>
                <w:bCs/>
                <w:sz w:val="32"/>
                <w:szCs w:val="32"/>
              </w:rPr>
              <w:t>地区</w:t>
            </w:r>
          </w:p>
        </w:tc>
        <w:tc>
          <w:tcPr>
            <w:tcW w:w="346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36A3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仿宋_GB2312"/>
                <w:b/>
                <w:bCs/>
                <w:sz w:val="32"/>
                <w:szCs w:val="32"/>
              </w:rPr>
            </w:pPr>
            <w:r>
              <w:rPr>
                <w:rFonts w:hint="eastAsia" w:ascii="宋体" w:hAnsi="宋体" w:eastAsia="仿宋_GB2312" w:cs="仿宋_GB2312"/>
                <w:b/>
                <w:bCs/>
                <w:sz w:val="32"/>
                <w:szCs w:val="32"/>
              </w:rPr>
              <w:t>企业类型</w:t>
            </w:r>
          </w:p>
        </w:tc>
        <w:tc>
          <w:tcPr>
            <w:tcW w:w="30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E2FB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b/>
                <w:bCs/>
                <w:sz w:val="32"/>
                <w:szCs w:val="32"/>
              </w:rPr>
            </w:pPr>
            <w:r>
              <w:rPr>
                <w:rFonts w:hint="eastAsia" w:ascii="宋体" w:hAnsi="宋体" w:eastAsia="仿宋_GB2312" w:cs="仿宋_GB2312"/>
                <w:b/>
                <w:bCs/>
                <w:sz w:val="32"/>
                <w:szCs w:val="32"/>
              </w:rPr>
              <w:t>金额（万美元）</w:t>
            </w:r>
          </w:p>
        </w:tc>
      </w:tr>
      <w:tr w14:paraId="7D85E38B">
        <w:tblPrEx>
          <w:tblBorders>
            <w:top w:val="single" w:color="34495E" w:sz="2" w:space="0"/>
            <w:left w:val="single" w:color="34495E" w:sz="2" w:space="0"/>
            <w:bottom w:val="single" w:color="34495E" w:sz="2" w:space="0"/>
            <w:right w:val="single" w:color="34495E" w:sz="2" w:space="0"/>
            <w:insideH w:val="none" w:color="auto" w:sz="0" w:space="0"/>
            <w:insideV w:val="none" w:color="auto" w:sz="0" w:space="0"/>
          </w:tblBorders>
          <w:shd w:val="clear" w:color="auto" w:fill="auto"/>
          <w:tblCellMar>
            <w:top w:w="0" w:type="dxa"/>
            <w:left w:w="0" w:type="dxa"/>
            <w:bottom w:w="0" w:type="dxa"/>
            <w:right w:w="0" w:type="dxa"/>
          </w:tblCellMar>
        </w:tblPrEx>
        <w:trPr>
          <w:trHeight w:val="564" w:hRule="atLeast"/>
        </w:trPr>
        <w:tc>
          <w:tcPr>
            <w:tcW w:w="283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25E8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沿海</w:t>
            </w:r>
          </w:p>
        </w:tc>
        <w:tc>
          <w:tcPr>
            <w:tcW w:w="346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37A9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流通型</w:t>
            </w:r>
          </w:p>
        </w:tc>
        <w:tc>
          <w:tcPr>
            <w:tcW w:w="30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A5FD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150</w:t>
            </w:r>
          </w:p>
        </w:tc>
      </w:tr>
      <w:tr w14:paraId="25A7DB6A">
        <w:tblPrEx>
          <w:tblBorders>
            <w:top w:val="single" w:color="34495E" w:sz="2" w:space="0"/>
            <w:left w:val="single" w:color="34495E" w:sz="2" w:space="0"/>
            <w:bottom w:val="single" w:color="34495E" w:sz="2" w:space="0"/>
            <w:right w:val="single" w:color="34495E" w:sz="2"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283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7816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沿海</w:t>
            </w:r>
          </w:p>
        </w:tc>
        <w:tc>
          <w:tcPr>
            <w:tcW w:w="346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DCFB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非流通型</w:t>
            </w:r>
          </w:p>
        </w:tc>
        <w:tc>
          <w:tcPr>
            <w:tcW w:w="30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9535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75</w:t>
            </w:r>
          </w:p>
        </w:tc>
      </w:tr>
      <w:tr w14:paraId="49229625">
        <w:tblPrEx>
          <w:tblBorders>
            <w:top w:val="single" w:color="34495E" w:sz="2" w:space="0"/>
            <w:left w:val="single" w:color="34495E" w:sz="2" w:space="0"/>
            <w:bottom w:val="single" w:color="34495E" w:sz="2" w:space="0"/>
            <w:right w:val="single" w:color="34495E" w:sz="2" w:space="0"/>
            <w:insideH w:val="none" w:color="auto" w:sz="0" w:space="0"/>
            <w:insideV w:val="none" w:color="auto" w:sz="0" w:space="0"/>
          </w:tblBorders>
          <w:shd w:val="clear" w:color="auto" w:fill="auto"/>
          <w:tblCellMar>
            <w:top w:w="0" w:type="dxa"/>
            <w:left w:w="0" w:type="dxa"/>
            <w:bottom w:w="0" w:type="dxa"/>
            <w:right w:w="0" w:type="dxa"/>
          </w:tblCellMar>
        </w:tblPrEx>
        <w:trPr>
          <w:trHeight w:val="810" w:hRule="atLeast"/>
        </w:trPr>
        <w:tc>
          <w:tcPr>
            <w:tcW w:w="283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AFA9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中部及东北</w:t>
            </w:r>
          </w:p>
        </w:tc>
        <w:tc>
          <w:tcPr>
            <w:tcW w:w="346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CAF1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流通型</w:t>
            </w:r>
          </w:p>
        </w:tc>
        <w:tc>
          <w:tcPr>
            <w:tcW w:w="30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E1C7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75</w:t>
            </w:r>
          </w:p>
        </w:tc>
      </w:tr>
      <w:tr w14:paraId="514C3FBD">
        <w:tblPrEx>
          <w:tblBorders>
            <w:top w:val="single" w:color="34495E" w:sz="2" w:space="0"/>
            <w:left w:val="single" w:color="34495E" w:sz="2" w:space="0"/>
            <w:bottom w:val="single" w:color="34495E" w:sz="2" w:space="0"/>
            <w:right w:val="single" w:color="34495E" w:sz="2" w:space="0"/>
            <w:insideH w:val="none" w:color="auto" w:sz="0" w:space="0"/>
            <w:insideV w:val="none" w:color="auto" w:sz="0" w:space="0"/>
          </w:tblBorders>
          <w:shd w:val="clear" w:color="auto" w:fill="auto"/>
          <w:tblCellMar>
            <w:top w:w="0" w:type="dxa"/>
            <w:left w:w="0" w:type="dxa"/>
            <w:bottom w:w="0" w:type="dxa"/>
            <w:right w:w="0" w:type="dxa"/>
          </w:tblCellMar>
        </w:tblPrEx>
        <w:trPr>
          <w:trHeight w:val="810" w:hRule="atLeast"/>
        </w:trPr>
        <w:tc>
          <w:tcPr>
            <w:tcW w:w="283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F3D6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中部及东北</w:t>
            </w:r>
          </w:p>
        </w:tc>
        <w:tc>
          <w:tcPr>
            <w:tcW w:w="346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6515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非流通型</w:t>
            </w:r>
          </w:p>
        </w:tc>
        <w:tc>
          <w:tcPr>
            <w:tcW w:w="30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CA21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40</w:t>
            </w:r>
          </w:p>
        </w:tc>
      </w:tr>
      <w:tr w14:paraId="046A43B4">
        <w:tblPrEx>
          <w:tblBorders>
            <w:top w:val="single" w:color="34495E" w:sz="2" w:space="0"/>
            <w:left w:val="single" w:color="34495E" w:sz="2" w:space="0"/>
            <w:bottom w:val="single" w:color="34495E" w:sz="2" w:space="0"/>
            <w:right w:val="single" w:color="34495E" w:sz="2" w:space="0"/>
            <w:insideH w:val="none" w:color="auto" w:sz="0" w:space="0"/>
            <w:insideV w:val="none" w:color="auto" w:sz="0" w:space="0"/>
          </w:tblBorders>
          <w:shd w:val="clear" w:color="auto" w:fill="auto"/>
          <w:tblCellMar>
            <w:top w:w="0" w:type="dxa"/>
            <w:left w:w="0" w:type="dxa"/>
            <w:bottom w:w="0" w:type="dxa"/>
            <w:right w:w="0" w:type="dxa"/>
          </w:tblCellMar>
        </w:tblPrEx>
        <w:trPr>
          <w:trHeight w:val="810" w:hRule="atLeast"/>
        </w:trPr>
        <w:tc>
          <w:tcPr>
            <w:tcW w:w="283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20E3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西部</w:t>
            </w:r>
          </w:p>
        </w:tc>
        <w:tc>
          <w:tcPr>
            <w:tcW w:w="346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63B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流通型</w:t>
            </w:r>
          </w:p>
        </w:tc>
        <w:tc>
          <w:tcPr>
            <w:tcW w:w="30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01F4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40</w:t>
            </w:r>
          </w:p>
        </w:tc>
      </w:tr>
      <w:tr w14:paraId="0FEA8347">
        <w:tblPrEx>
          <w:tblBorders>
            <w:top w:val="single" w:color="34495E" w:sz="2" w:space="0"/>
            <w:left w:val="single" w:color="34495E" w:sz="2" w:space="0"/>
            <w:bottom w:val="single" w:color="34495E" w:sz="2" w:space="0"/>
            <w:right w:val="single" w:color="34495E" w:sz="2" w:space="0"/>
            <w:insideH w:val="none" w:color="auto" w:sz="0" w:space="0"/>
            <w:insideV w:val="none" w:color="auto" w:sz="0" w:space="0"/>
          </w:tblBorders>
          <w:tblCellMar>
            <w:top w:w="0" w:type="dxa"/>
            <w:left w:w="0" w:type="dxa"/>
            <w:bottom w:w="0" w:type="dxa"/>
            <w:right w:w="0" w:type="dxa"/>
          </w:tblCellMar>
        </w:tblPrEx>
        <w:trPr>
          <w:trHeight w:val="810" w:hRule="atLeast"/>
        </w:trPr>
        <w:tc>
          <w:tcPr>
            <w:tcW w:w="283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86F0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西部</w:t>
            </w:r>
          </w:p>
        </w:tc>
        <w:tc>
          <w:tcPr>
            <w:tcW w:w="346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FECF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非流通型</w:t>
            </w:r>
          </w:p>
        </w:tc>
        <w:tc>
          <w:tcPr>
            <w:tcW w:w="30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AD89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20</w:t>
            </w:r>
          </w:p>
        </w:tc>
      </w:tr>
    </w:tbl>
    <w:p w14:paraId="6AD4F4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四、为扶持有发展潜力的新企业或中小企业发展，各交易团可在各展区中安排一定比例 (最多不超过本交易团在该展区参展企业总数的 20% ) 符合第一点规定，但未达到第三点规定的最低出口额要求的企业参展。</w:t>
      </w:r>
    </w:p>
    <w:p w14:paraId="39CDE5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五、属下列情况之一的企业禁止参展：</w:t>
      </w:r>
    </w:p>
    <w:p w14:paraId="2F0CEE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（一）商务部向社会公告的违规违法企业，在公告期内禁止参展。</w:t>
      </w:r>
    </w:p>
    <w:p w14:paraId="3377CC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国家商务、环保、卫生、人力资源和社会保障、海关、税务、市场监管（知识产权）、外汇、安监、药监等部门通报、公告或处罚的违规违法企业，且在通报、公告或处罚期限内的；无明确期限的，按通报、公告或处罚之日起连续六届禁止参展。自上次品牌评审以来被司法机关、仲裁机关或知识产权行政管理机关认定侵权的，禁止申请品牌展位。伪造品牌展位申请材料的，在下次品牌展位全面评审前，禁止申请和使用品牌展位。</w:t>
      </w:r>
    </w:p>
    <w:p w14:paraId="4E5C8F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（三）因违规转让或转租（卖）广交会展位，涉及贸易纠纷投诉，涉嫌侵犯知识产权，或违反广交会其他规定，被广交会取消参展资格并处于处罚期限内的。</w:t>
      </w:r>
    </w:p>
    <w:p w14:paraId="0BB19C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（四）因参展表现恶劣、拒不服从广交会管理、破坏展览秩序，或违反其他广交会相关规定，对广交会声誉或正常运营造成较大不良影响，被广交会处罚并处于处罚期限内的。</w:t>
      </w:r>
    </w:p>
    <w:p w14:paraId="352826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  五、属下列情况之一的展品禁止参展：</w:t>
      </w:r>
    </w:p>
    <w:p w14:paraId="0B1AE4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（一）《中国进出口商品交易会出口展参展展品范围（出口展）》规定之外的展品；</w:t>
      </w:r>
    </w:p>
    <w:p w14:paraId="758263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（二）不符合《中华人民共和国产品质量法》、《中华人民共和国进出口商品检验法》及其他有关出口产品质量法律法规规定的展品；</w:t>
      </w:r>
    </w:p>
    <w:p w14:paraId="4B39E9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（三）涉及商标、专利、版权，但未取得合法权利证书或使用许可合同的展品；</w:t>
      </w:r>
    </w:p>
    <w:p w14:paraId="4C5F02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（四）在商务、海关、市场监管（知识产权）、药监等部门有不良记录且未经复检合格的展品；</w:t>
      </w:r>
    </w:p>
    <w:p w14:paraId="720DC9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（五）被司法机关或知识产权行政管理机关认定侵权的展品。</w:t>
      </w:r>
    </w:p>
    <w:p w14:paraId="4B1C74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六、参展企业须承诺接受和遵守广交会出口展的有关规章制度，包括《广交会出口展参展责任书》《中国进出口商品交易会出口展参展须知》《中国进出口商品交易会出口展参展商服务指南》，广交会线上平台《广交会展商线上行为准则》《用户服务协议》等。</w:t>
      </w:r>
    </w:p>
    <w:p w14:paraId="75EF65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DE5Y2M4NDUzYWNiZGRjZmFlNWU3ODRlYjBjZjAifQ=="/>
  </w:docVars>
  <w:rsids>
    <w:rsidRoot w:val="00000000"/>
    <w:rsid w:val="1B420A3F"/>
    <w:rsid w:val="5ACE4499"/>
    <w:rsid w:val="704E4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1109</Words>
  <Characters>1118</Characters>
  <Lines>0</Lines>
  <Paragraphs>0</Paragraphs>
  <TotalTime>11</TotalTime>
  <ScaleCrop>false</ScaleCrop>
  <LinksUpToDate>false</LinksUpToDate>
  <CharactersWithSpaces>1124</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2023-11-13T09:41:00Z</dcterms:created>
  <dc:creator>18663</dc:creator>
  <cp:lastModifiedBy>宇 </cp:lastModifiedBy>
  <dcterms:modified xsi:type="dcterms:W3CDTF">2024-11-26T14:30:25Z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DB4F2C48C08F4137A42FA5D7B370B9E5_12</vt:lpwstr>
  </property>
</Properties>
</file>