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color w:val="000000"/>
          <w:sz w:val="44"/>
          <w:szCs w:val="44"/>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威海市商务局</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color w:val="000000"/>
          <w:sz w:val="32"/>
          <w:szCs w:val="32"/>
        </w:rPr>
      </w:pPr>
      <w:r>
        <w:rPr>
          <w:rFonts w:hint="eastAsia" w:ascii="方正小标宋简体" w:hAnsi="方正小标宋简体" w:eastAsia="方正小标宋简体" w:cs="方正小标宋简体"/>
          <w:color w:val="000000"/>
          <w:sz w:val="44"/>
          <w:szCs w:val="44"/>
          <w:lang w:val="en-US" w:eastAsia="zh-CN"/>
        </w:rPr>
        <w:t>2022</w:t>
      </w:r>
      <w:r>
        <w:rPr>
          <w:rFonts w:hint="eastAsia" w:ascii="方正小标宋简体" w:hAnsi="方正小标宋简体" w:eastAsia="方正小标宋简体" w:cs="方正小标宋简体"/>
          <w:color w:val="000000"/>
          <w:sz w:val="44"/>
          <w:szCs w:val="44"/>
        </w:rPr>
        <w:t>年政府信息公开工作</w:t>
      </w:r>
      <w:r>
        <w:rPr>
          <w:rFonts w:hint="eastAsia" w:ascii="方正小标宋简体" w:hAnsi="方正小标宋简体" w:eastAsia="方正小标宋简体" w:cs="方正小标宋简体"/>
          <w:color w:val="000000"/>
          <w:sz w:val="44"/>
          <w:szCs w:val="44"/>
          <w:lang w:eastAsia="zh-CN"/>
        </w:rPr>
        <w:t>年度</w:t>
      </w:r>
      <w:r>
        <w:rPr>
          <w:rFonts w:hint="eastAsia" w:ascii="方正小标宋简体" w:hAnsi="方正小标宋简体" w:eastAsia="方正小标宋简体" w:cs="方正小标宋简体"/>
          <w:color w:val="000000"/>
          <w:sz w:val="44"/>
          <w:szCs w:val="44"/>
        </w:rPr>
        <w:t>报告</w:t>
      </w:r>
    </w:p>
    <w:p>
      <w:pPr>
        <w:keepNext w:val="0"/>
        <w:keepLines w:val="0"/>
        <w:pageBreakBefore w:val="0"/>
        <w:widowControl w:val="0"/>
        <w:kinsoku/>
        <w:wordWrap/>
        <w:overflowPunct/>
        <w:topLinePunct w:val="0"/>
        <w:autoSpaceDE/>
        <w:autoSpaceDN/>
        <w:bidi w:val="0"/>
        <w:adjustRightInd/>
        <w:snapToGrid w:val="0"/>
        <w:spacing w:line="240" w:lineRule="auto"/>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根据《中华人民共和国政府信息公开条例》（以下简称《条例》）和国务院办公厅关于《中华人民共和国政府信息公开工作年度报告格式》的通知（国办公开办函〔2021〕30号）规定，现公布威海市商务局2022年政府信息公开工作年度报告。本报告由总体情况、主动公开政府信息情况、收到和处理政府信息公开申请情况、因政府信息公开工作被申请行政复议、提起行政诉讼情况、政府信息公开工作存在的主要问题及改进情况和其他需要报告的事项六部分组成。</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本报告中所列数据的统计时限自2022年1月1日起至2022年12月31日止。报告电子版可从威海市人民政府门户网站（http://www.weihai.gov.cn/）和威海市商务局门户网站（http://swj.weihai.gov.cn）查阅或下载</w:t>
      </w:r>
      <w:bookmarkStart w:id="10" w:name="_GoBack"/>
      <w:bookmarkEnd w:id="10"/>
      <w:r>
        <w:rPr>
          <w:rFonts w:hint="eastAsia" w:ascii="宋体" w:hAnsi="宋体" w:eastAsia="仿宋_GB2312"/>
          <w:color w:val="000000"/>
          <w:sz w:val="32"/>
          <w:szCs w:val="32"/>
          <w:lang w:val="en-US" w:eastAsia="zh-CN"/>
        </w:rPr>
        <w:t>。如对本报告有疑问，请与威海市商务局联系（地址：威海市文化中路86号，电子邮箱：swjbgs@wh.shandong.cn，邮政编码：264200，办公电话：0631-5303317，传真：0631-5303301）。</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黑体"/>
          <w:color w:val="000000"/>
          <w:sz w:val="32"/>
          <w:szCs w:val="32"/>
        </w:rPr>
      </w:pPr>
      <w:r>
        <w:rPr>
          <w:rFonts w:hint="eastAsia" w:ascii="宋体" w:hAnsi="宋体" w:eastAsia="黑体"/>
          <w:color w:val="000000"/>
          <w:sz w:val="32"/>
          <w:szCs w:val="32"/>
          <w:lang w:eastAsia="zh-CN"/>
        </w:rPr>
        <w:t>一、</w:t>
      </w:r>
      <w:r>
        <w:rPr>
          <w:rFonts w:hint="eastAsia" w:ascii="宋体" w:hAnsi="宋体" w:eastAsia="黑体"/>
          <w:color w:val="000000"/>
          <w:sz w:val="32"/>
          <w:szCs w:val="32"/>
        </w:rPr>
        <w:t>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eastAsia="zh-CN"/>
        </w:rPr>
      </w:pPr>
      <w:r>
        <w:rPr>
          <w:rFonts w:hint="eastAsia" w:ascii="宋体" w:hAnsi="宋体" w:eastAsia="仿宋_GB2312"/>
          <w:color w:val="000000"/>
          <w:sz w:val="32"/>
          <w:szCs w:val="32"/>
          <w:lang w:val="en-US" w:eastAsia="zh-CN"/>
        </w:rPr>
        <w:t>2022年，市商务局</w:t>
      </w:r>
      <w:r>
        <w:rPr>
          <w:rFonts w:hint="eastAsia" w:ascii="宋体" w:hAnsi="宋体" w:eastAsia="仿宋_GB2312"/>
          <w:color w:val="000000"/>
          <w:sz w:val="32"/>
          <w:szCs w:val="32"/>
          <w:lang w:eastAsia="zh-CN"/>
        </w:rPr>
        <w:t>认真贯彻落实《条例》，结合商务工作实际，按照“公开为常态、不公开为例外”的原则，着力提升政务公开的制度化、标准化和信息化水平，保障和扩大政务服务的公众参与度，建立健全工作运行机制，切实提升公开质量和实效，落实好商务领域政务公开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eastAsia="zh-CN"/>
        </w:rPr>
      </w:pPr>
      <w:r>
        <w:rPr>
          <w:rFonts w:hint="eastAsia" w:ascii="楷体_GB2312" w:hAnsi="楷体_GB2312" w:eastAsia="楷体_GB2312" w:cs="楷体_GB2312"/>
          <w:color w:val="000000"/>
          <w:sz w:val="32"/>
          <w:szCs w:val="32"/>
          <w:lang w:eastAsia="zh-CN"/>
        </w:rPr>
        <w:t>（一）主动公开政府信息情况。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default" w:ascii="宋体" w:hAnsi="宋体" w:eastAsia="仿宋_GB2312"/>
          <w:color w:val="000000"/>
          <w:sz w:val="32"/>
          <w:szCs w:val="32"/>
          <w:lang w:val="en-US" w:eastAsia="zh-CN"/>
        </w:rPr>
      </w:pPr>
      <w:r>
        <w:rPr>
          <w:rFonts w:hint="eastAsia" w:ascii="宋体" w:hAnsi="宋体" w:eastAsia="仿宋_GB2312"/>
          <w:color w:val="000000"/>
          <w:sz w:val="32"/>
          <w:szCs w:val="32"/>
          <w:lang w:eastAsia="zh-CN"/>
        </w:rPr>
        <w:t>202</w:t>
      </w:r>
      <w:r>
        <w:rPr>
          <w:rFonts w:hint="eastAsia" w:ascii="宋体" w:hAnsi="宋体" w:eastAsia="仿宋_GB2312"/>
          <w:color w:val="000000"/>
          <w:sz w:val="32"/>
          <w:szCs w:val="32"/>
          <w:lang w:val="en-US" w:eastAsia="zh-CN"/>
        </w:rPr>
        <w:t>2</w:t>
      </w:r>
      <w:r>
        <w:rPr>
          <w:rFonts w:hint="eastAsia" w:ascii="宋体" w:hAnsi="宋体" w:eastAsia="仿宋_GB2312"/>
          <w:color w:val="000000"/>
          <w:sz w:val="32"/>
          <w:szCs w:val="32"/>
          <w:lang w:eastAsia="zh-CN"/>
        </w:rPr>
        <w:t>年，共通过各种渠道公开工作动态、政策文件、政策解读等政府信息</w:t>
      </w:r>
      <w:r>
        <w:rPr>
          <w:rFonts w:hint="eastAsia" w:ascii="宋体" w:hAnsi="宋体" w:eastAsia="仿宋_GB2312"/>
          <w:color w:val="000000"/>
          <w:sz w:val="32"/>
          <w:szCs w:val="32"/>
          <w:lang w:val="en-US" w:eastAsia="zh-CN"/>
        </w:rPr>
        <w:t>12419</w:t>
      </w:r>
      <w:r>
        <w:rPr>
          <w:rFonts w:hint="eastAsia" w:ascii="宋体" w:hAnsi="宋体" w:eastAsia="仿宋_GB2312"/>
          <w:color w:val="000000"/>
          <w:sz w:val="32"/>
          <w:szCs w:val="32"/>
          <w:lang w:eastAsia="zh-CN"/>
        </w:rPr>
        <w:t>条，其中，政务网站公开</w:t>
      </w:r>
      <w:r>
        <w:rPr>
          <w:rFonts w:hint="eastAsia" w:ascii="宋体" w:hAnsi="宋体" w:eastAsia="仿宋_GB2312"/>
          <w:color w:val="000000"/>
          <w:sz w:val="32"/>
          <w:szCs w:val="32"/>
          <w:lang w:val="en-US" w:eastAsia="zh-CN"/>
        </w:rPr>
        <w:t>1479</w:t>
      </w:r>
      <w:r>
        <w:rPr>
          <w:rFonts w:hint="eastAsia" w:ascii="宋体" w:hAnsi="宋体" w:eastAsia="仿宋_GB2312"/>
          <w:color w:val="000000"/>
          <w:sz w:val="32"/>
          <w:szCs w:val="32"/>
          <w:lang w:eastAsia="zh-CN"/>
        </w:rPr>
        <w:t>条，政务微博公开</w:t>
      </w:r>
      <w:r>
        <w:rPr>
          <w:rFonts w:hint="eastAsia" w:ascii="宋体" w:hAnsi="宋体" w:eastAsia="仿宋_GB2312"/>
          <w:color w:val="000000"/>
          <w:sz w:val="32"/>
          <w:szCs w:val="32"/>
          <w:lang w:val="en-US" w:eastAsia="zh-CN"/>
        </w:rPr>
        <w:t>7224</w:t>
      </w:r>
      <w:r>
        <w:rPr>
          <w:rFonts w:hint="eastAsia" w:ascii="宋体" w:hAnsi="宋体" w:eastAsia="仿宋_GB2312"/>
          <w:color w:val="000000"/>
          <w:sz w:val="32"/>
          <w:szCs w:val="32"/>
          <w:lang w:eastAsia="zh-CN"/>
        </w:rPr>
        <w:t>条，政务微信公开</w:t>
      </w:r>
      <w:r>
        <w:rPr>
          <w:rFonts w:hint="eastAsia" w:ascii="宋体" w:hAnsi="宋体" w:eastAsia="仿宋_GB2312"/>
          <w:color w:val="000000"/>
          <w:sz w:val="32"/>
          <w:szCs w:val="32"/>
          <w:lang w:val="en-US" w:eastAsia="zh-CN"/>
        </w:rPr>
        <w:t>1664</w:t>
      </w:r>
      <w:r>
        <w:rPr>
          <w:rFonts w:hint="eastAsia" w:ascii="宋体" w:hAnsi="宋体" w:eastAsia="仿宋_GB2312"/>
          <w:color w:val="000000"/>
          <w:sz w:val="32"/>
          <w:szCs w:val="32"/>
          <w:lang w:eastAsia="zh-CN"/>
        </w:rPr>
        <w:t>条，政务</w:t>
      </w:r>
      <w:r>
        <w:rPr>
          <w:rFonts w:hint="eastAsia" w:ascii="宋体" w:hAnsi="宋体" w:eastAsia="仿宋_GB2312"/>
          <w:color w:val="000000"/>
          <w:sz w:val="32"/>
          <w:szCs w:val="32"/>
          <w:lang w:val="en-US" w:eastAsia="zh-CN"/>
        </w:rPr>
        <w:t>头条公开1282条，政务抖音公开395条，其他方式公开375条。发布文字、动漫、图文等方式解读11篇，召开新闻发布会2次，向社会各界征求意见2次。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仿宋_GB2312"/>
          <w:color w:val="000000"/>
          <w:sz w:val="32"/>
          <w:szCs w:val="32"/>
          <w:lang w:eastAsia="zh-CN"/>
        </w:rPr>
      </w:pPr>
      <w:r>
        <w:rPr>
          <w:rFonts w:hint="eastAsia" w:ascii="宋体" w:hAnsi="宋体" w:eastAsia="仿宋_GB2312"/>
          <w:color w:val="000000"/>
          <w:sz w:val="32"/>
          <w:szCs w:val="32"/>
          <w:lang w:eastAsia="zh-CN"/>
        </w:rPr>
        <w:drawing>
          <wp:inline distT="0" distB="0" distL="114300" distR="114300">
            <wp:extent cx="5095875" cy="3819525"/>
            <wp:effectExtent l="0" t="0" r="9525" b="9525"/>
            <wp:docPr id="1" name="图片 2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0" descr="图片1"/>
                    <pic:cNvPicPr>
                      <a:picLocks noChangeAspect="1"/>
                    </pic:cNvPicPr>
                  </pic:nvPicPr>
                  <pic:blipFill>
                    <a:blip r:embed="rId6"/>
                    <a:stretch>
                      <a:fillRect/>
                    </a:stretch>
                  </pic:blipFill>
                  <pic:spPr>
                    <a:xfrm>
                      <a:off x="0" y="0"/>
                      <a:ext cx="5095875" cy="381952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eastAsia="zh-CN"/>
        </w:rPr>
        <w:t>（二）依申请公开情况。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严格执行《条例》规定，坚持依法办理，畅通申请受理渠道，市商务局全年共受理政府信息公开申请2件，所有申请均在法定时间内给予回复，其中，予以公开1件，本机关不掌握相关政府信息1件；所有申请均未收取信息处理费，未发生涉政府信息公开的行政复议或行政诉讼。</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drawing>
          <wp:inline distT="0" distB="0" distL="114300" distR="114300">
            <wp:extent cx="5095875" cy="3819525"/>
            <wp:effectExtent l="0" t="0" r="9525" b="9525"/>
            <wp:docPr id="2" name="图片 21"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1" descr="图片2"/>
                    <pic:cNvPicPr>
                      <a:picLocks noChangeAspect="1"/>
                    </pic:cNvPicPr>
                  </pic:nvPicPr>
                  <pic:blipFill>
                    <a:blip r:embed="rId7"/>
                    <a:stretch>
                      <a:fillRect/>
                    </a:stretch>
                  </pic:blipFill>
                  <pic:spPr>
                    <a:xfrm>
                      <a:off x="0" y="0"/>
                      <a:ext cx="5095875" cy="381952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宋体" w:hAnsi="宋体" w:eastAsia="仿宋_GB2312"/>
          <w:color w:val="000000"/>
          <w:sz w:val="32"/>
          <w:szCs w:val="32"/>
          <w:lang w:eastAsia="zh-CN"/>
        </w:rPr>
      </w:pPr>
      <w:r>
        <w:rPr>
          <w:rFonts w:hint="eastAsia" w:ascii="楷体_GB2312" w:hAnsi="楷体_GB2312" w:eastAsia="楷体_GB2312" w:cs="楷体_GB2312"/>
          <w:color w:val="000000"/>
          <w:sz w:val="32"/>
          <w:szCs w:val="32"/>
          <w:lang w:eastAsia="zh-CN"/>
        </w:rPr>
        <w:t>（三）政府信息管理情况。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left"/>
        <w:textAlignment w:val="auto"/>
        <w:rPr>
          <w:rFonts w:hint="eastAsia" w:ascii="宋体" w:hAnsi="宋体" w:eastAsia="仿宋_GB2312"/>
          <w:color w:val="000000"/>
          <w:sz w:val="32"/>
          <w:szCs w:val="32"/>
          <w:lang w:val="en-US" w:eastAsia="zh-CN"/>
        </w:rPr>
      </w:pPr>
      <w:r>
        <w:rPr>
          <w:rFonts w:hint="eastAsia" w:ascii="宋体" w:hAnsi="宋体" w:eastAsia="仿宋_GB2312"/>
          <w:b/>
          <w:bCs/>
          <w:color w:val="000000"/>
          <w:sz w:val="32"/>
          <w:szCs w:val="32"/>
          <w:lang w:val="en-US" w:eastAsia="zh-CN"/>
        </w:rPr>
        <w:t>一是实行“三审三校”工作制度。</w:t>
      </w:r>
      <w:r>
        <w:rPr>
          <w:rFonts w:hint="eastAsia" w:ascii="宋体" w:hAnsi="宋体" w:eastAsia="仿宋_GB2312"/>
          <w:color w:val="000000"/>
          <w:sz w:val="32"/>
          <w:szCs w:val="32"/>
          <w:lang w:val="en-US" w:eastAsia="zh-CN"/>
        </w:rPr>
        <w:t>规范信息发布审核，严把政治关、法律关、政策关，确保信息发布的权威性、安全性、准确性。</w:t>
      </w:r>
      <w:r>
        <w:rPr>
          <w:rFonts w:hint="eastAsia" w:ascii="宋体" w:hAnsi="宋体" w:eastAsia="仿宋_GB2312"/>
          <w:b/>
          <w:bCs/>
          <w:color w:val="000000"/>
          <w:sz w:val="32"/>
          <w:szCs w:val="32"/>
          <w:lang w:val="en-US" w:eastAsia="zh-CN"/>
        </w:rPr>
        <w:t>二是落实政府信息公开保密审查制度。</w:t>
      </w:r>
      <w:r>
        <w:rPr>
          <w:rFonts w:hint="eastAsia" w:ascii="宋体" w:hAnsi="宋体" w:eastAsia="仿宋_GB2312"/>
          <w:color w:val="000000"/>
          <w:sz w:val="32"/>
          <w:szCs w:val="32"/>
          <w:lang w:val="en-US" w:eastAsia="zh-CN"/>
        </w:rPr>
        <w:t>对涉及商业秘密、个人隐私等涉敏涉密政府信息，依法予以清除。对典型错别字、错敏词，立查立改，确保信息的准确性。</w:t>
      </w:r>
      <w:r>
        <w:rPr>
          <w:rFonts w:hint="eastAsia" w:ascii="宋体" w:hAnsi="宋体" w:eastAsia="仿宋_GB2312"/>
          <w:b/>
          <w:bCs/>
          <w:color w:val="000000"/>
          <w:sz w:val="32"/>
          <w:szCs w:val="32"/>
          <w:lang w:val="en-US" w:eastAsia="zh-CN"/>
        </w:rPr>
        <w:t>三是确保政策文件畅通。</w:t>
      </w:r>
      <w:r>
        <w:rPr>
          <w:rFonts w:hint="eastAsia" w:ascii="宋体" w:hAnsi="宋体" w:eastAsia="仿宋_GB2312"/>
          <w:b w:val="0"/>
          <w:bCs w:val="0"/>
          <w:color w:val="000000"/>
          <w:sz w:val="32"/>
          <w:szCs w:val="32"/>
          <w:lang w:val="en-US" w:eastAsia="zh-CN"/>
        </w:rPr>
        <w:t>对规范性文件清理结果及时公示和标注，</w:t>
      </w:r>
      <w:r>
        <w:rPr>
          <w:rFonts w:hint="eastAsia" w:ascii="宋体" w:hAnsi="宋体" w:eastAsia="仿宋_GB2312"/>
          <w:color w:val="000000"/>
          <w:sz w:val="32"/>
          <w:szCs w:val="32"/>
          <w:lang w:val="en-US" w:eastAsia="zh-CN"/>
        </w:rPr>
        <w:t>2022全年制发规范性文件1件，正式印发前向社会公开其草案及说明，广泛征求意见并公布意见采纳情况。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eastAsia="zh-CN"/>
        </w:rPr>
        <w:t>（四）平台建设情况。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pPr>
      <w:r>
        <w:rPr>
          <w:rFonts w:hint="eastAsia" w:ascii="宋体" w:hAnsi="宋体" w:eastAsia="仿宋_GB2312"/>
          <w:color w:val="000000"/>
          <w:sz w:val="32"/>
          <w:szCs w:val="32"/>
          <w:lang w:val="en-US" w:eastAsia="zh-CN"/>
        </w:rPr>
        <w:t>强化网站管理，进一步规范门户网站栏目设置，做到栏目设置合理、条理清晰、规范有序，落实专人负责制，强化信息保密审查，提升信息发布规范，定期开展网站安全监测，确保网站安全运行。根据商务工作实际，在市商务局门户网站建设【市场供应】等专栏，在政务微博、头条、抖音等新媒体平台建设【海外经贸消息】、【商务云课堂】等专栏，做到及时、主动、全面、准确、权威发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eastAsia="zh-CN"/>
        </w:rPr>
        <w:t>（五）监督保障情况。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eastAsia="zh-CN"/>
        </w:rPr>
        <w:t>一是制定了《威海市商务局2022年政务公开考核办法》将政务公开工作纳入年终考评，分值权重不低于4%，明确政府信息公开的主要内容、责任分工和保障措施，对未按照相关规定和要求履行公开职责、工作落实不到位的，在年度考核中予以体现。二是加强组织领导，及时调整政务公开工作领导小组成员，小组以局主要领导为组长，分管领导为副组长，科室负责人为成员，局办公室具体承担政务公开日常工作，形成上下联动、齐抓共管、协同推进的工作合力。三是强化日常监督，加大队伍建设力度，组织开展政务公开培训,切实提升政务公开水平，全年组织相关培训</w:t>
      </w:r>
      <w:r>
        <w:rPr>
          <w:rFonts w:hint="eastAsia" w:ascii="宋体" w:hAnsi="宋体" w:eastAsia="仿宋_GB2312"/>
          <w:color w:val="000000"/>
          <w:sz w:val="32"/>
          <w:szCs w:val="32"/>
          <w:lang w:val="en-US" w:eastAsia="zh-CN"/>
        </w:rPr>
        <w:t>3次，参加培训人数超过60人。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p>
    <w:p>
      <w:pPr>
        <w:numPr>
          <w:ilvl w:val="0"/>
          <w:numId w:val="0"/>
        </w:numPr>
        <w:spacing w:line="560" w:lineRule="exact"/>
        <w:ind w:firstLine="640" w:firstLineChars="200"/>
        <w:rPr>
          <w:rFonts w:hint="eastAsia" w:ascii="黑体" w:hAnsi="黑体" w:eastAsia="黑体" w:cs="黑体"/>
          <w:b w:val="0"/>
          <w:bCs/>
          <w:color w:val="auto"/>
          <w:sz w:val="32"/>
          <w:szCs w:val="32"/>
        </w:rPr>
      </w:pPr>
      <w:r>
        <w:rPr>
          <w:rFonts w:hint="eastAsia" w:ascii="黑体" w:hAnsi="黑体" w:eastAsia="黑体" w:cs="黑体"/>
          <w:b w:val="0"/>
          <w:bCs/>
          <w:color w:val="auto"/>
          <w:sz w:val="32"/>
          <w:szCs w:val="32"/>
          <w:lang w:eastAsia="zh-CN"/>
        </w:rPr>
        <w:t>二、</w:t>
      </w:r>
      <w:r>
        <w:rPr>
          <w:rFonts w:hint="eastAsia" w:ascii="黑体" w:hAnsi="黑体" w:eastAsia="黑体" w:cs="黑体"/>
          <w:b w:val="0"/>
          <w:bCs/>
          <w:color w:val="auto"/>
          <w:sz w:val="32"/>
          <w:szCs w:val="32"/>
        </w:rPr>
        <w:t>主动公开政府信息情况</w:t>
      </w:r>
    </w:p>
    <w:tbl>
      <w:tblPr>
        <w:tblStyle w:val="8"/>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4"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4"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4"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4" w:space="0"/>
              <w:right w:val="single" w:color="auto" w:sz="8" w:space="0"/>
            </w:tcBorders>
            <w:noWrap w:val="0"/>
            <w:vAlign w:val="center"/>
          </w:tcPr>
          <w:p>
            <w:pPr>
              <w:widowControl/>
              <w:jc w:val="center"/>
              <w:rPr>
                <w:rFonts w:hint="eastAsia" w:ascii="仿宋_GB2312" w:hAnsi="Calibri" w:eastAsia="仿宋_GB2312" w:cs="Calibri"/>
                <w:color w:val="000000"/>
                <w:kern w:val="0"/>
                <w:szCs w:val="21"/>
                <w:lang w:eastAsia="zh-CN"/>
              </w:rPr>
            </w:pPr>
            <w:r>
              <w:rPr>
                <w:rFonts w:hint="eastAsia" w:ascii="仿宋_GB2312"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single" w:color="auto" w:sz="4" w:space="0"/>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single" w:color="auto" w:sz="4" w:space="0"/>
              <w:left w:val="nil"/>
              <w:bottom w:val="single" w:color="auto" w:sz="8" w:space="0"/>
              <w:right w:val="single" w:color="auto" w:sz="8" w:space="0"/>
            </w:tcBorders>
            <w:noWrap w:val="0"/>
            <w:vAlign w:val="center"/>
          </w:tcPr>
          <w:p>
            <w:pPr>
              <w:widowControl/>
              <w:jc w:val="center"/>
              <w:rPr>
                <w:rFonts w:hint="default"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1</w:t>
            </w:r>
          </w:p>
        </w:tc>
        <w:tc>
          <w:tcPr>
            <w:tcW w:w="2206" w:type="dxa"/>
            <w:tcBorders>
              <w:top w:val="single" w:color="auto" w:sz="4" w:space="0"/>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single" w:color="auto" w:sz="4" w:space="0"/>
              <w:left w:val="nil"/>
              <w:bottom w:val="single" w:color="auto" w:sz="8" w:space="0"/>
              <w:right w:val="single" w:color="auto" w:sz="8" w:space="0"/>
            </w:tcBorders>
            <w:noWrap w:val="0"/>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eastAsia="仿宋_GB2312" w:cs="Calibri"/>
                <w:color w:val="auto"/>
                <w:kern w:val="0"/>
                <w:szCs w:val="21"/>
                <w:lang w:val="en-US" w:eastAsia="zh-CN"/>
              </w:rPr>
              <w:t>5</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4"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single" w:color="auto" w:sz="4" w:space="0"/>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4"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63</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90"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default"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default"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4"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single" w:color="auto" w:sz="4" w:space="0"/>
              <w:left w:val="single" w:color="auto" w:sz="4"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4" w:space="0"/>
              <w:left w:val="nil"/>
              <w:bottom w:val="single" w:color="auto" w:sz="8" w:space="0"/>
              <w:right w:val="single" w:color="auto" w:sz="4"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4" w:space="0"/>
              <w:bottom w:val="single" w:color="auto" w:sz="4"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4" w:space="0"/>
              <w:right w:val="single" w:color="auto" w:sz="4" w:space="0"/>
            </w:tcBorders>
            <w:noWrap w:val="0"/>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after="0" w:line="60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after="0" w:line="60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after="0" w:line="600" w:lineRule="exact"/>
        <w:jc w:val="both"/>
        <w:textAlignment w:val="auto"/>
        <w:rPr>
          <w:rFonts w:hint="eastAsia" w:ascii="仿宋_GB2312" w:hAnsi="仿宋_GB2312" w:eastAsia="仿宋_GB2312" w:cs="仿宋_GB2312"/>
          <w:sz w:val="32"/>
          <w:szCs w:val="32"/>
          <w:lang w:val="en-US" w:eastAsia="zh-CN"/>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ind w:left="0" w:right="0" w:firstLine="640" w:firstLineChars="200"/>
        <w:jc w:val="both"/>
        <w:rPr>
          <w:rFonts w:hint="eastAsia" w:ascii="黑体" w:hAnsi="黑体" w:eastAsia="黑体" w:cs="黑体"/>
          <w:b w:val="0"/>
          <w:bCs/>
          <w:sz w:val="32"/>
          <w:szCs w:val="32"/>
        </w:rPr>
      </w:pPr>
      <w:r>
        <w:rPr>
          <w:rFonts w:hint="eastAsia" w:ascii="黑体" w:hAnsi="黑体" w:eastAsia="黑体" w:cs="黑体"/>
          <w:b w:val="0"/>
          <w:bCs/>
          <w:sz w:val="32"/>
          <w:szCs w:val="32"/>
        </w:rPr>
        <w:t>三、收到和处理政府信息公开申请情况</w:t>
      </w:r>
    </w:p>
    <w:tbl>
      <w:tblPr>
        <w:tblStyle w:val="8"/>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noWrap w:val="0"/>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820" w:type="dxa"/>
            <w:gridSpan w:val="7"/>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829" w:type="dxa"/>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140" w:type="dxa"/>
            <w:gridSpan w:val="5"/>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851" w:type="dxa"/>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829" w:type="dxa"/>
            <w:vMerge w:val="continue"/>
            <w:noWrap w:val="0"/>
            <w:tcMar>
              <w:left w:w="108" w:type="dxa"/>
              <w:right w:w="108" w:type="dxa"/>
            </w:tcMar>
            <w:vAlign w:val="center"/>
          </w:tcPr>
          <w:p>
            <w:pPr>
              <w:jc w:val="center"/>
              <w:rPr>
                <w:rFonts w:ascii="黑体" w:hAnsi="黑体" w:eastAsia="黑体"/>
                <w:szCs w:val="21"/>
              </w:rPr>
            </w:pPr>
          </w:p>
        </w:tc>
        <w:tc>
          <w:tcPr>
            <w:tcW w:w="567" w:type="dxa"/>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67" w:type="dxa"/>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31" w:type="dxa"/>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708" w:type="dxa"/>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67" w:type="dxa"/>
            <w:noWrap w:val="0"/>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851" w:type="dxa"/>
            <w:vMerge w:val="continue"/>
            <w:noWrap w:val="0"/>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noWrap w:val="0"/>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4677" w:type="dxa"/>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noWrap w:val="0"/>
            <w:vAlign w:val="center"/>
          </w:tcPr>
          <w:p>
            <w:pPr>
              <w:widowControl/>
              <w:spacing w:line="300" w:lineRule="exact"/>
              <w:jc w:val="both"/>
              <w:rPr>
                <w:rFonts w:ascii="仿宋_GB2312" w:hAnsi="楷体" w:eastAsia="仿宋_GB2312"/>
              </w:rPr>
            </w:pPr>
            <w:r>
              <w:rPr>
                <w:rFonts w:hint="eastAsia" w:ascii="仿宋_GB2312" w:hAnsi="黑体" w:eastAsia="仿宋_GB2312"/>
                <w:kern w:val="0"/>
                <w:szCs w:val="21"/>
              </w:rPr>
              <w:t>1.申请人无正当理由逾期不补正、行政机关不再处理其政府信息公开申请</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2976" w:type="dxa"/>
            <w:noWrap w:val="0"/>
            <w:vAlign w:val="center"/>
          </w:tcPr>
          <w:p>
            <w:pPr>
              <w:widowControl/>
              <w:spacing w:line="300" w:lineRule="exact"/>
              <w:jc w:val="both"/>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2976" w:type="dxa"/>
            <w:noWrap w:val="0"/>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4677" w:type="dxa"/>
            <w:gridSpan w:val="2"/>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29"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bl>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宋体" w:hAnsi="宋体" w:eastAsia="仿宋_GB2312"/>
          <w:color w:val="auto"/>
          <w:sz w:val="32"/>
          <w:szCs w:val="32"/>
          <w:lang w:eastAsia="zh-CN"/>
        </w:rPr>
      </w:pPr>
    </w:p>
    <w:p>
      <w:pPr>
        <w:pStyle w:val="7"/>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rPr>
          <w:rFonts w:hint="eastAsia" w:ascii="黑体" w:hAnsi="黑体" w:eastAsia="黑体" w:cs="黑体"/>
          <w:b w:val="0"/>
          <w:bCs/>
          <w:sz w:val="32"/>
          <w:szCs w:val="32"/>
        </w:rPr>
      </w:pPr>
      <w:r>
        <w:rPr>
          <w:rFonts w:hint="eastAsia" w:ascii="黑体" w:hAnsi="黑体" w:eastAsia="黑体" w:cs="黑体"/>
          <w:b w:val="0"/>
          <w:bCs/>
          <w:sz w:val="32"/>
          <w:szCs w:val="32"/>
        </w:rPr>
        <w:t>因政府信息公开工作被申请行政复议、提起行政诉讼情况</w:t>
      </w:r>
    </w:p>
    <w:tbl>
      <w:tblPr>
        <w:tblStyle w:val="8"/>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r>
    </w:tbl>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auto"/>
          <w:sz w:val="32"/>
          <w:szCs w:val="32"/>
          <w:lang w:val="en-US" w:eastAsia="zh-CN"/>
        </w:rPr>
      </w:pPr>
      <w:r>
        <w:rPr>
          <w:rFonts w:hint="eastAsia" w:ascii="黑体" w:hAnsi="黑体" w:eastAsia="黑体" w:cs="黑体"/>
          <w:color w:val="auto"/>
          <w:sz w:val="32"/>
          <w:szCs w:val="32"/>
          <w:lang w:val="en-US" w:eastAsia="zh-CN"/>
        </w:rPr>
        <w:t>五、政府信息公开工作存在的主要问题及改进情况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2022年，市商务局政府信息公开力度不断加大，公开机制更加完善，在规范依申请公开、解读形式等方面取得明显成效，但仍存在一定的差距和不足：一是个别信息公开不及时，二是主动公开内容动态调整方面还有待完善。下一步，应当建立健全政府信息管理动态调整机制，做好各类公开信息的动态管理，保证政府信息公开及时准确发布，在制度层面使政府信息公开管理动态调整工作常态化。</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（一）信息处理费收取情况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按照《政府信息公开信息处理费管理办法》，本年度未收取政府信息公开信息处理费。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楷体_GB2312" w:hAnsi="楷体_GB2312" w:eastAsia="楷体_GB2312" w:cs="楷体_GB2312"/>
          <w:color w:val="000000"/>
          <w:sz w:val="32"/>
          <w:szCs w:val="32"/>
          <w:lang w:val="en-US" w:eastAsia="zh-CN"/>
        </w:rPr>
      </w:pPr>
      <w:r>
        <w:rPr>
          <w:rFonts w:hint="default" w:ascii="楷体_GB2312" w:hAnsi="楷体_GB2312" w:eastAsia="楷体_GB2312" w:cs="楷体_GB2312"/>
          <w:color w:val="000000"/>
          <w:sz w:val="32"/>
          <w:szCs w:val="32"/>
          <w:lang w:val="en-US" w:eastAsia="zh-CN"/>
        </w:rPr>
        <w:t>（</w:t>
      </w:r>
      <w:r>
        <w:rPr>
          <w:rFonts w:hint="eastAsia" w:ascii="楷体_GB2312" w:hAnsi="楷体_GB2312" w:eastAsia="楷体_GB2312" w:cs="楷体_GB2312"/>
          <w:color w:val="000000"/>
          <w:sz w:val="32"/>
          <w:szCs w:val="32"/>
          <w:lang w:val="en-US" w:eastAsia="zh-CN"/>
        </w:rPr>
        <w:t>二</w:t>
      </w:r>
      <w:r>
        <w:rPr>
          <w:rFonts w:hint="default" w:ascii="楷体_GB2312" w:hAnsi="楷体_GB2312" w:eastAsia="楷体_GB2312" w:cs="楷体_GB2312"/>
          <w:color w:val="000000"/>
          <w:sz w:val="32"/>
          <w:szCs w:val="32"/>
          <w:lang w:val="en-US" w:eastAsia="zh-CN"/>
        </w:rPr>
        <w:t>）人大代表建议和政协提案办理结果公开情况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2022年,市商务局共接办市人大代表建议27件,其中主办9件；共接办市政协委员提案34件，其中主办13件。建议提案内容涉及招商引资、区域全面经济伙伴关系协定(RCEP）、园区建设、促进消费等方面，均在规定时限内答复并及时公开，办复率100%、满意度100%，所有办理均评为“A”。</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（三）政务公开工作创新情况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为贯彻落实省委、省政府“六稳”“六保”工作部署，威海市商务局创新开展“电商云课堂”直播培训活动，社会各界积极参与，并对各区市进行了同步直播，推动政务公开与新媒体融合发展，主动借助新媒体传播优势，提升了政府的透明度、开放度，提高政府公众认知度以及社会影响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（四）落实上级年度政务公开工作要点情况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认真落实国家、省、市年度政务公开工作要点部署要求，细化工作任务，落实工作要求，强化工作责任，推动政务公开工作落到实处，较好地完成了年度政务公开重点工作任务。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宋体" w:hAnsi="宋体" w:eastAsia="仿宋_GB2312"/>
          <w:color w:val="00000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adjustRightInd/>
        <w:snapToGrid/>
        <w:spacing w:line="600" w:lineRule="exact"/>
        <w:ind w:firstLine="640" w:firstLineChars="200"/>
        <w:jc w:val="right"/>
        <w:textAlignment w:val="auto"/>
        <w:rPr>
          <w:rFonts w:hint="default"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 xml:space="preserve">威海市商务局         </w:t>
      </w:r>
    </w:p>
    <w:p>
      <w:pPr>
        <w:keepNext w:val="0"/>
        <w:keepLines w:val="0"/>
        <w:pageBreakBefore w:val="0"/>
        <w:widowControl w:val="0"/>
        <w:numPr>
          <w:ilvl w:val="0"/>
          <w:numId w:val="0"/>
        </w:numPr>
        <w:kinsoku/>
        <w:wordWrap w:val="0"/>
        <w:overflowPunct/>
        <w:topLinePunct w:val="0"/>
        <w:autoSpaceDE/>
        <w:autoSpaceDN/>
        <w:bidi w:val="0"/>
        <w:adjustRightInd/>
        <w:snapToGrid/>
        <w:spacing w:line="600" w:lineRule="exact"/>
        <w:ind w:firstLine="640" w:firstLineChars="200"/>
        <w:jc w:val="right"/>
        <w:textAlignment w:val="auto"/>
        <w:rPr>
          <w:rFonts w:hint="default" w:ascii="宋体" w:hAnsi="宋体" w:eastAsia="仿宋_GB2312"/>
          <w:color w:val="000000"/>
          <w:sz w:val="32"/>
          <w:szCs w:val="32"/>
          <w:lang w:val="en-US" w:eastAsia="zh-CN"/>
        </w:rPr>
      </w:pPr>
      <w:r>
        <w:rPr>
          <w:rFonts w:hint="eastAsia" w:ascii="宋体" w:hAnsi="宋体" w:eastAsia="仿宋_GB2312"/>
          <w:color w:val="000000"/>
          <w:sz w:val="32"/>
          <w:szCs w:val="32"/>
          <w:lang w:val="en-US" w:eastAsia="zh-CN"/>
        </w:rPr>
        <w:t xml:space="preserve">2023年1月16日       </w:t>
      </w:r>
    </w:p>
    <w:sectPr>
      <w:footerReference r:id="rId3" w:type="default"/>
      <w:footerReference r:id="rId4" w:type="even"/>
      <w:pgSz w:w="11906" w:h="16838"/>
      <w:pgMar w:top="2098" w:right="1474" w:bottom="1984" w:left="1587" w:header="851" w:footer="1418" w:gutter="0"/>
      <w:pgBorders>
        <w:top w:val="none" w:sz="0" w:space="0"/>
        <w:left w:val="none" w:sz="0" w:space="0"/>
        <w:bottom w:val="none" w:sz="0" w:space="0"/>
        <w:right w:val="none" w:sz="0" w:space="0"/>
      </w:pgBorders>
      <w:pgNumType w:fmt="decimal"/>
      <w:cols w:space="720" w:num="1"/>
      <w:docGrid w:type="lines" w:linePitch="579" w:charSpace="2167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jc w:val="right"/>
                            <w:rPr>
                              <w:rFonts w:ascii="宋体" w:hAnsi="宋体" w:eastAsia="宋体"/>
                              <w:sz w:val="28"/>
                              <w:szCs w:val="28"/>
                            </w:rPr>
                          </w:pPr>
                          <w:r>
                            <w:rPr>
                              <w:rFonts w:hint="eastAsia"/>
                              <w:sz w:val="28"/>
                              <w:szCs w:val="28"/>
                              <w:lang w:eastAsia="zh-CN"/>
                            </w:rPr>
                            <w:t>—</w:t>
                          </w:r>
                          <w:r>
                            <w:rPr>
                              <w:rFonts w:hint="eastAsia"/>
                              <w:sz w:val="28"/>
                              <w:szCs w:val="28"/>
                              <w:lang w:val="en-US" w:eastAsia="zh-CN"/>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9 -</w:t>
                          </w:r>
                          <w:r>
                            <w:rPr>
                              <w:rFonts w:ascii="宋体" w:hAnsi="宋体" w:eastAsia="宋体"/>
                              <w:sz w:val="28"/>
                              <w:szCs w:val="28"/>
                            </w:rPr>
                            <w:fldChar w:fldCharType="end"/>
                          </w:r>
                          <w:r>
                            <w:rPr>
                              <w:rFonts w:hint="eastAsia" w:ascii="宋体" w:hAnsi="宋体" w:eastAsia="宋体"/>
                              <w:sz w:val="28"/>
                              <w:szCs w:val="28"/>
                              <w:lang w:val="en-US" w:eastAsia="zh-CN"/>
                            </w:rPr>
                            <w:t xml:space="preserve"> </w:t>
                          </w:r>
                          <w:r>
                            <w:rPr>
                              <w:rFonts w:hint="eastAsia" w:ascii="宋体" w:hAnsi="宋体" w:eastAsia="宋体"/>
                              <w:sz w:val="28"/>
                              <w:szCs w:val="28"/>
                              <w:lang w:eastAsia="zh-CN"/>
                            </w:rPr>
                            <w:t>—</w:t>
                          </w:r>
                        </w:p>
                        <w:p>
                          <w:pPr>
                            <w:rPr>
                              <w:rFonts w:ascii="宋体" w:hAnsi="宋体" w:eastAsia="宋体"/>
                              <w:sz w:val="28"/>
                              <w:szCs w:val="28"/>
                            </w:rPr>
                          </w:pP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5"/>
                      <w:jc w:val="right"/>
                      <w:rPr>
                        <w:rFonts w:ascii="宋体" w:hAnsi="宋体" w:eastAsia="宋体"/>
                        <w:sz w:val="28"/>
                        <w:szCs w:val="28"/>
                      </w:rPr>
                    </w:pPr>
                    <w:r>
                      <w:rPr>
                        <w:rFonts w:hint="eastAsia"/>
                        <w:sz w:val="28"/>
                        <w:szCs w:val="28"/>
                        <w:lang w:eastAsia="zh-CN"/>
                      </w:rPr>
                      <w:t>—</w:t>
                    </w:r>
                    <w:r>
                      <w:rPr>
                        <w:rFonts w:hint="eastAsia"/>
                        <w:sz w:val="28"/>
                        <w:szCs w:val="28"/>
                        <w:lang w:val="en-US" w:eastAsia="zh-CN"/>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9 -</w:t>
                    </w:r>
                    <w:r>
                      <w:rPr>
                        <w:rFonts w:ascii="宋体" w:hAnsi="宋体" w:eastAsia="宋体"/>
                        <w:sz w:val="28"/>
                        <w:szCs w:val="28"/>
                      </w:rPr>
                      <w:fldChar w:fldCharType="end"/>
                    </w:r>
                    <w:r>
                      <w:rPr>
                        <w:rFonts w:hint="eastAsia" w:ascii="宋体" w:hAnsi="宋体" w:eastAsia="宋体"/>
                        <w:sz w:val="28"/>
                        <w:szCs w:val="28"/>
                        <w:lang w:val="en-US" w:eastAsia="zh-CN"/>
                      </w:rPr>
                      <w:t xml:space="preserve"> </w:t>
                    </w:r>
                    <w:r>
                      <w:rPr>
                        <w:rFonts w:hint="eastAsia" w:ascii="宋体" w:hAnsi="宋体" w:eastAsia="宋体"/>
                        <w:sz w:val="28"/>
                        <w:szCs w:val="28"/>
                        <w:lang w:eastAsia="zh-CN"/>
                      </w:rPr>
                      <w:t>—</w:t>
                    </w:r>
                  </w:p>
                  <w:p>
                    <w:pPr>
                      <w:rPr>
                        <w:rFonts w:ascii="宋体" w:hAnsi="宋体" w:eastAsia="宋体"/>
                        <w:sz w:val="28"/>
                        <w:szCs w:val="28"/>
                      </w:rPr>
                    </w:pPr>
                  </w:p>
                </w:txbxContent>
              </v:textbox>
            </v:shape>
          </w:pict>
        </mc:Fallback>
      </mc:AlternateContent>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8 -</w:t>
    </w:r>
    <w:r>
      <w:rPr>
        <w:rFonts w:ascii="宋体" w:hAnsi="宋体" w:eastAsia="宋体"/>
        <w:sz w:val="28"/>
        <w:szCs w:val="28"/>
      </w:rP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9C2E57"/>
    <w:multiLevelType w:val="singleLevel"/>
    <w:tmpl w:val="E89C2E57"/>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cumentProtection w:enforcement="0"/>
  <w:defaultTabStop w:val="420"/>
  <w:hyphenationZone w:val="360"/>
  <w:drawingGridHorizontalSpacing w:val="158"/>
  <w:drawingGridVerticalSpacing w:val="57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hNDY5MTcxZWIyMWY3OWU2Nzg5OTIwMGVhZjQxMDUifQ=="/>
  </w:docVars>
  <w:rsids>
    <w:rsidRoot w:val="00E85405"/>
    <w:rsid w:val="0003300D"/>
    <w:rsid w:val="00050067"/>
    <w:rsid w:val="0005672E"/>
    <w:rsid w:val="00085588"/>
    <w:rsid w:val="000D27C3"/>
    <w:rsid w:val="001164D4"/>
    <w:rsid w:val="00132740"/>
    <w:rsid w:val="00132EF5"/>
    <w:rsid w:val="00136841"/>
    <w:rsid w:val="00157A5C"/>
    <w:rsid w:val="00163522"/>
    <w:rsid w:val="00177E5E"/>
    <w:rsid w:val="00184D14"/>
    <w:rsid w:val="001A33E0"/>
    <w:rsid w:val="001B3454"/>
    <w:rsid w:val="001D5BFE"/>
    <w:rsid w:val="002103AD"/>
    <w:rsid w:val="002532F6"/>
    <w:rsid w:val="002758B7"/>
    <w:rsid w:val="002815AB"/>
    <w:rsid w:val="00284A5B"/>
    <w:rsid w:val="002A1BF8"/>
    <w:rsid w:val="002B5435"/>
    <w:rsid w:val="002C3355"/>
    <w:rsid w:val="002F6E79"/>
    <w:rsid w:val="003161B2"/>
    <w:rsid w:val="00325DE4"/>
    <w:rsid w:val="003600BF"/>
    <w:rsid w:val="00372BD4"/>
    <w:rsid w:val="003847B6"/>
    <w:rsid w:val="003B0C18"/>
    <w:rsid w:val="003D6052"/>
    <w:rsid w:val="003F3589"/>
    <w:rsid w:val="00406159"/>
    <w:rsid w:val="00411B6E"/>
    <w:rsid w:val="0042452A"/>
    <w:rsid w:val="00472CD6"/>
    <w:rsid w:val="00495864"/>
    <w:rsid w:val="004D7D0A"/>
    <w:rsid w:val="004F2787"/>
    <w:rsid w:val="004F7ADE"/>
    <w:rsid w:val="00501830"/>
    <w:rsid w:val="00507EF1"/>
    <w:rsid w:val="0055471F"/>
    <w:rsid w:val="0055568F"/>
    <w:rsid w:val="00562931"/>
    <w:rsid w:val="005A5EE9"/>
    <w:rsid w:val="005E29FD"/>
    <w:rsid w:val="006712A1"/>
    <w:rsid w:val="006825A0"/>
    <w:rsid w:val="006A0105"/>
    <w:rsid w:val="006A3926"/>
    <w:rsid w:val="006B0BBB"/>
    <w:rsid w:val="006F002D"/>
    <w:rsid w:val="00732716"/>
    <w:rsid w:val="007373CF"/>
    <w:rsid w:val="00785087"/>
    <w:rsid w:val="007946E4"/>
    <w:rsid w:val="0081480A"/>
    <w:rsid w:val="00817FA9"/>
    <w:rsid w:val="008610EF"/>
    <w:rsid w:val="00865205"/>
    <w:rsid w:val="00895013"/>
    <w:rsid w:val="008D67AE"/>
    <w:rsid w:val="00907008"/>
    <w:rsid w:val="00936997"/>
    <w:rsid w:val="00962E07"/>
    <w:rsid w:val="00967919"/>
    <w:rsid w:val="009872BC"/>
    <w:rsid w:val="009C7AC9"/>
    <w:rsid w:val="00A044ED"/>
    <w:rsid w:val="00A16342"/>
    <w:rsid w:val="00A23BE7"/>
    <w:rsid w:val="00AA0DF1"/>
    <w:rsid w:val="00AA5673"/>
    <w:rsid w:val="00AE4AF9"/>
    <w:rsid w:val="00B330C4"/>
    <w:rsid w:val="00B671A0"/>
    <w:rsid w:val="00BC2674"/>
    <w:rsid w:val="00BE6C1F"/>
    <w:rsid w:val="00C33D03"/>
    <w:rsid w:val="00C35D31"/>
    <w:rsid w:val="00C668FB"/>
    <w:rsid w:val="00CC4301"/>
    <w:rsid w:val="00CE6222"/>
    <w:rsid w:val="00D114DD"/>
    <w:rsid w:val="00D32641"/>
    <w:rsid w:val="00D35EF9"/>
    <w:rsid w:val="00D47741"/>
    <w:rsid w:val="00D60CAE"/>
    <w:rsid w:val="00D804F0"/>
    <w:rsid w:val="00D90E65"/>
    <w:rsid w:val="00DC5301"/>
    <w:rsid w:val="00DE3625"/>
    <w:rsid w:val="00E4395F"/>
    <w:rsid w:val="00E62F13"/>
    <w:rsid w:val="00E63936"/>
    <w:rsid w:val="00E85405"/>
    <w:rsid w:val="00E95265"/>
    <w:rsid w:val="00EB62E1"/>
    <w:rsid w:val="00F25777"/>
    <w:rsid w:val="00F410BE"/>
    <w:rsid w:val="00F460D2"/>
    <w:rsid w:val="00F90C74"/>
    <w:rsid w:val="0189475D"/>
    <w:rsid w:val="020B452E"/>
    <w:rsid w:val="02206C79"/>
    <w:rsid w:val="029A19E8"/>
    <w:rsid w:val="02F451D3"/>
    <w:rsid w:val="039F57A9"/>
    <w:rsid w:val="04780824"/>
    <w:rsid w:val="04F946F7"/>
    <w:rsid w:val="053D4D4A"/>
    <w:rsid w:val="071B164C"/>
    <w:rsid w:val="07C174D4"/>
    <w:rsid w:val="097E1D12"/>
    <w:rsid w:val="0AF8445E"/>
    <w:rsid w:val="0B4A7271"/>
    <w:rsid w:val="0BC26BB8"/>
    <w:rsid w:val="0C9037D2"/>
    <w:rsid w:val="0CB50BAC"/>
    <w:rsid w:val="0E2E5F81"/>
    <w:rsid w:val="0F283222"/>
    <w:rsid w:val="10AB4791"/>
    <w:rsid w:val="119909C2"/>
    <w:rsid w:val="12300A47"/>
    <w:rsid w:val="12546294"/>
    <w:rsid w:val="128671B1"/>
    <w:rsid w:val="12AF7E95"/>
    <w:rsid w:val="12B67D2D"/>
    <w:rsid w:val="13B76C86"/>
    <w:rsid w:val="14AC1FD5"/>
    <w:rsid w:val="15B50F7A"/>
    <w:rsid w:val="17D57D12"/>
    <w:rsid w:val="19DF524B"/>
    <w:rsid w:val="19E50FF4"/>
    <w:rsid w:val="1A192C79"/>
    <w:rsid w:val="1A6373E1"/>
    <w:rsid w:val="1A84052F"/>
    <w:rsid w:val="1A90785A"/>
    <w:rsid w:val="1E363B50"/>
    <w:rsid w:val="1EDF3DCE"/>
    <w:rsid w:val="1EF07071"/>
    <w:rsid w:val="1FBE042A"/>
    <w:rsid w:val="1FF63A32"/>
    <w:rsid w:val="20267260"/>
    <w:rsid w:val="209F4F67"/>
    <w:rsid w:val="210E6ADB"/>
    <w:rsid w:val="221A2506"/>
    <w:rsid w:val="23175773"/>
    <w:rsid w:val="24094061"/>
    <w:rsid w:val="24FC0904"/>
    <w:rsid w:val="25252228"/>
    <w:rsid w:val="25495DD4"/>
    <w:rsid w:val="267D370E"/>
    <w:rsid w:val="26CE6F53"/>
    <w:rsid w:val="27507994"/>
    <w:rsid w:val="28F04D44"/>
    <w:rsid w:val="28F628F2"/>
    <w:rsid w:val="29F81A9D"/>
    <w:rsid w:val="2ADD2737"/>
    <w:rsid w:val="2B34410B"/>
    <w:rsid w:val="2CB03EE6"/>
    <w:rsid w:val="2CE120F4"/>
    <w:rsid w:val="2D916901"/>
    <w:rsid w:val="2DBB4CF1"/>
    <w:rsid w:val="2DF80288"/>
    <w:rsid w:val="2F52173C"/>
    <w:rsid w:val="2F8C4439"/>
    <w:rsid w:val="307B44AD"/>
    <w:rsid w:val="30B22A7B"/>
    <w:rsid w:val="30D02865"/>
    <w:rsid w:val="328C5271"/>
    <w:rsid w:val="330B5755"/>
    <w:rsid w:val="34BA37F6"/>
    <w:rsid w:val="35B264D4"/>
    <w:rsid w:val="36645B0B"/>
    <w:rsid w:val="36E445D8"/>
    <w:rsid w:val="3750129F"/>
    <w:rsid w:val="376455C8"/>
    <w:rsid w:val="37C04BDE"/>
    <w:rsid w:val="38095B54"/>
    <w:rsid w:val="38667F37"/>
    <w:rsid w:val="38AA5632"/>
    <w:rsid w:val="38CF6358"/>
    <w:rsid w:val="3AE66A72"/>
    <w:rsid w:val="3C8D37CB"/>
    <w:rsid w:val="3D4123E3"/>
    <w:rsid w:val="3E7E5C92"/>
    <w:rsid w:val="3F754087"/>
    <w:rsid w:val="3F83142A"/>
    <w:rsid w:val="400B1B2B"/>
    <w:rsid w:val="4037440A"/>
    <w:rsid w:val="41360BE3"/>
    <w:rsid w:val="41E17AFC"/>
    <w:rsid w:val="430E6544"/>
    <w:rsid w:val="43615785"/>
    <w:rsid w:val="44653223"/>
    <w:rsid w:val="44F92B11"/>
    <w:rsid w:val="45067735"/>
    <w:rsid w:val="45457203"/>
    <w:rsid w:val="462036D5"/>
    <w:rsid w:val="465B7F40"/>
    <w:rsid w:val="478455B0"/>
    <w:rsid w:val="47E71EE8"/>
    <w:rsid w:val="48666320"/>
    <w:rsid w:val="48CA3E83"/>
    <w:rsid w:val="49B2299A"/>
    <w:rsid w:val="4C410FA2"/>
    <w:rsid w:val="4CB1525B"/>
    <w:rsid w:val="4D017AA7"/>
    <w:rsid w:val="4D203531"/>
    <w:rsid w:val="4D445F10"/>
    <w:rsid w:val="4EC665A0"/>
    <w:rsid w:val="4F835D91"/>
    <w:rsid w:val="506C7E09"/>
    <w:rsid w:val="52DD2222"/>
    <w:rsid w:val="53356761"/>
    <w:rsid w:val="5362462C"/>
    <w:rsid w:val="537C375A"/>
    <w:rsid w:val="540054A0"/>
    <w:rsid w:val="54947F2E"/>
    <w:rsid w:val="55137FA3"/>
    <w:rsid w:val="55550DDC"/>
    <w:rsid w:val="56F53225"/>
    <w:rsid w:val="571D45D3"/>
    <w:rsid w:val="580D2695"/>
    <w:rsid w:val="58D03867"/>
    <w:rsid w:val="593F5F9D"/>
    <w:rsid w:val="594F4726"/>
    <w:rsid w:val="5A265A18"/>
    <w:rsid w:val="5A6106B8"/>
    <w:rsid w:val="5A6D3E4F"/>
    <w:rsid w:val="5B1000D4"/>
    <w:rsid w:val="5B7F4BF7"/>
    <w:rsid w:val="5E3B275B"/>
    <w:rsid w:val="5F074075"/>
    <w:rsid w:val="5FCC1D08"/>
    <w:rsid w:val="613E4B5C"/>
    <w:rsid w:val="62531A18"/>
    <w:rsid w:val="62685A23"/>
    <w:rsid w:val="62AF12F0"/>
    <w:rsid w:val="62F00520"/>
    <w:rsid w:val="63A07E6A"/>
    <w:rsid w:val="63CC200C"/>
    <w:rsid w:val="64FB5748"/>
    <w:rsid w:val="65656798"/>
    <w:rsid w:val="65B157E7"/>
    <w:rsid w:val="667015B1"/>
    <w:rsid w:val="66FD62B4"/>
    <w:rsid w:val="6777784C"/>
    <w:rsid w:val="689601C6"/>
    <w:rsid w:val="69353615"/>
    <w:rsid w:val="6A6762E0"/>
    <w:rsid w:val="6AB26DF7"/>
    <w:rsid w:val="6CED742A"/>
    <w:rsid w:val="6D271592"/>
    <w:rsid w:val="6D4D4B55"/>
    <w:rsid w:val="6D7A28D8"/>
    <w:rsid w:val="6D9A1D65"/>
    <w:rsid w:val="6DEF48C9"/>
    <w:rsid w:val="6E6733A0"/>
    <w:rsid w:val="7034624F"/>
    <w:rsid w:val="70A03CB3"/>
    <w:rsid w:val="717B0B9B"/>
    <w:rsid w:val="71D47810"/>
    <w:rsid w:val="72B072DC"/>
    <w:rsid w:val="72C47C8A"/>
    <w:rsid w:val="73D50740"/>
    <w:rsid w:val="745D5385"/>
    <w:rsid w:val="74B133C4"/>
    <w:rsid w:val="74DE036D"/>
    <w:rsid w:val="752C334C"/>
    <w:rsid w:val="75D33AB5"/>
    <w:rsid w:val="75D827AD"/>
    <w:rsid w:val="76362FA9"/>
    <w:rsid w:val="771C1843"/>
    <w:rsid w:val="78321E67"/>
    <w:rsid w:val="789260CA"/>
    <w:rsid w:val="792E4782"/>
    <w:rsid w:val="797A3A32"/>
    <w:rsid w:val="7ACE0D9C"/>
    <w:rsid w:val="7B1E42B6"/>
    <w:rsid w:val="7B9F7C61"/>
    <w:rsid w:val="7CA63B3A"/>
    <w:rsid w:val="7E6E45F9"/>
    <w:rsid w:val="7F916F75"/>
    <w:rsid w:val="7F9620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qFormat="1" w:uiPriority="99" w:semiHidden="0"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uiPriority="99" w:name="HTML Preformatted"/>
    <w:lsdException w:uiPriority="99" w:name="HTML Sample"/>
    <w:lsdException w:uiPriority="99" w:name="HTML Typewriter"/>
    <w:lsdException w:qFormat="1" w:uiPriority="99" w:semiHidden="0"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paragraph" w:styleId="3">
    <w:name w:val="heading 2"/>
    <w:basedOn w:val="1"/>
    <w:next w:val="1"/>
    <w:unhideWhenUsed/>
    <w:qFormat/>
    <w:uiPriority w:val="9"/>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Balloon Text"/>
    <w:basedOn w:val="1"/>
    <w:link w:val="19"/>
    <w:unhideWhenUsed/>
    <w:qFormat/>
    <w:uiPriority w:val="99"/>
    <w:rPr>
      <w:sz w:val="18"/>
      <w:szCs w:val="18"/>
    </w:rPr>
  </w:style>
  <w:style w:type="paragraph" w:styleId="5">
    <w:name w:val="footer"/>
    <w:basedOn w:val="1"/>
    <w:link w:val="20"/>
    <w:unhideWhenUsed/>
    <w:qFormat/>
    <w:uiPriority w:val="99"/>
    <w:pPr>
      <w:tabs>
        <w:tab w:val="center" w:pos="4153"/>
        <w:tab w:val="right" w:pos="8306"/>
      </w:tabs>
      <w:snapToGrid w:val="0"/>
      <w:jc w:val="left"/>
    </w:pPr>
    <w:rPr>
      <w:sz w:val="18"/>
      <w:szCs w:val="18"/>
    </w:rPr>
  </w:style>
  <w:style w:type="paragraph" w:styleId="6">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0">
    <w:name w:val="Strong"/>
    <w:basedOn w:val="9"/>
    <w:qFormat/>
    <w:uiPriority w:val="22"/>
    <w:rPr>
      <w:b/>
    </w:rPr>
  </w:style>
  <w:style w:type="character" w:styleId="11">
    <w:name w:val="FollowedHyperlink"/>
    <w:basedOn w:val="9"/>
    <w:unhideWhenUsed/>
    <w:qFormat/>
    <w:uiPriority w:val="99"/>
    <w:rPr>
      <w:rFonts w:hint="eastAsia" w:ascii="微软雅黑" w:hAnsi="微软雅黑" w:eastAsia="微软雅黑" w:cs="微软雅黑"/>
      <w:color w:val="333333"/>
      <w:sz w:val="21"/>
      <w:szCs w:val="21"/>
      <w:u w:val="none"/>
    </w:rPr>
  </w:style>
  <w:style w:type="character" w:styleId="12">
    <w:name w:val="Emphasis"/>
    <w:basedOn w:val="9"/>
    <w:qFormat/>
    <w:uiPriority w:val="20"/>
  </w:style>
  <w:style w:type="character" w:styleId="13">
    <w:name w:val="HTML Definition"/>
    <w:basedOn w:val="9"/>
    <w:unhideWhenUsed/>
    <w:qFormat/>
    <w:uiPriority w:val="99"/>
  </w:style>
  <w:style w:type="character" w:styleId="14">
    <w:name w:val="HTML Acronym"/>
    <w:basedOn w:val="9"/>
    <w:unhideWhenUsed/>
    <w:qFormat/>
    <w:uiPriority w:val="99"/>
  </w:style>
  <w:style w:type="character" w:styleId="15">
    <w:name w:val="HTML Variable"/>
    <w:basedOn w:val="9"/>
    <w:unhideWhenUsed/>
    <w:qFormat/>
    <w:uiPriority w:val="99"/>
  </w:style>
  <w:style w:type="character" w:styleId="16">
    <w:name w:val="Hyperlink"/>
    <w:basedOn w:val="9"/>
    <w:unhideWhenUsed/>
    <w:qFormat/>
    <w:uiPriority w:val="99"/>
    <w:rPr>
      <w:color w:val="0000FF"/>
      <w:u w:val="single"/>
    </w:rPr>
  </w:style>
  <w:style w:type="character" w:styleId="17">
    <w:name w:val="HTML Code"/>
    <w:basedOn w:val="9"/>
    <w:unhideWhenUsed/>
    <w:qFormat/>
    <w:uiPriority w:val="99"/>
    <w:rPr>
      <w:rFonts w:ascii="Courier New" w:hAnsi="Courier New"/>
      <w:sz w:val="20"/>
    </w:rPr>
  </w:style>
  <w:style w:type="character" w:styleId="18">
    <w:name w:val="HTML Cite"/>
    <w:basedOn w:val="9"/>
    <w:unhideWhenUsed/>
    <w:qFormat/>
    <w:uiPriority w:val="99"/>
  </w:style>
  <w:style w:type="character" w:customStyle="1" w:styleId="19">
    <w:name w:val="批注框文本 Char"/>
    <w:basedOn w:val="9"/>
    <w:link w:val="4"/>
    <w:semiHidden/>
    <w:qFormat/>
    <w:uiPriority w:val="99"/>
    <w:rPr>
      <w:sz w:val="18"/>
      <w:szCs w:val="18"/>
    </w:rPr>
  </w:style>
  <w:style w:type="character" w:customStyle="1" w:styleId="20">
    <w:name w:val="页脚 Char"/>
    <w:basedOn w:val="9"/>
    <w:link w:val="5"/>
    <w:qFormat/>
    <w:uiPriority w:val="99"/>
    <w:rPr>
      <w:sz w:val="18"/>
      <w:szCs w:val="18"/>
    </w:rPr>
  </w:style>
  <w:style w:type="character" w:customStyle="1" w:styleId="21">
    <w:name w:val="页眉 Char"/>
    <w:basedOn w:val="9"/>
    <w:link w:val="6"/>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9</Pages>
  <Words>2987</Words>
  <Characters>3177</Characters>
  <Lines>19</Lines>
  <Paragraphs>5</Paragraphs>
  <TotalTime>0</TotalTime>
  <ScaleCrop>false</ScaleCrop>
  <LinksUpToDate>false</LinksUpToDate>
  <CharactersWithSpaces>3193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2017-02-09T08:21:00Z</dcterms:created>
  <dc:creator>hx</dc:creator>
  <cp:lastModifiedBy>ᴀᴇsᴛᴀs*</cp:lastModifiedBy>
  <cp:lastPrinted>2021-01-27T06:59:00Z</cp:lastPrinted>
  <dcterms:modified xsi:type="dcterms:W3CDTF">2023-02-01T02:23:07Z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586AC2486E7C407880AE781DB3D2C0A7</vt:lpwstr>
  </property>
</Properties>
</file>