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4586DA">
      <w:pPr>
        <w:keepNext w:val="0"/>
        <w:keepLines w:val="0"/>
        <w:pageBreakBefore w:val="0"/>
        <w:widowControl/>
        <w:kinsoku/>
        <w:wordWrap w:val="0"/>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14:paraId="7756D331">
      <w:pPr>
        <w:keepNext w:val="0"/>
        <w:keepLines w:val="0"/>
        <w:pageBreakBefore w:val="0"/>
        <w:widowControl/>
        <w:kinsoku/>
        <w:wordWrap w:val="0"/>
        <w:overflowPunct/>
        <w:topLinePunct w:val="0"/>
        <w:autoSpaceDE w:val="0"/>
        <w:autoSpaceDN w:val="0"/>
        <w:bidi w:val="0"/>
        <w:adjustRightInd w:val="0"/>
        <w:snapToGrid w:val="0"/>
        <w:spacing w:line="540" w:lineRule="exact"/>
        <w:jc w:val="center"/>
        <w:textAlignment w:val="baseline"/>
        <w:rPr>
          <w:rFonts w:hint="eastAsia" w:ascii="方正小标宋简体" w:hAnsi="方正小标宋简体" w:eastAsia="方正小标宋简体" w:cs="方正小标宋简体"/>
          <w:sz w:val="44"/>
          <w:szCs w:val="44"/>
        </w:rPr>
      </w:pPr>
    </w:p>
    <w:p w14:paraId="3C2CA6CE">
      <w:pPr>
        <w:keepNext w:val="0"/>
        <w:keepLines w:val="0"/>
        <w:pageBreakBefore w:val="0"/>
        <w:widowControl/>
        <w:kinsoku/>
        <w:wordWrap w:val="0"/>
        <w:overflowPunct/>
        <w:topLinePunct w:val="0"/>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广交会出口展一般性展位评审标准</w:t>
      </w:r>
    </w:p>
    <w:p w14:paraId="2738F297">
      <w:pPr>
        <w:keepNext w:val="0"/>
        <w:keepLines w:val="0"/>
        <w:pageBreakBefore w:val="0"/>
        <w:widowControl/>
        <w:kinsoku/>
        <w:wordWrap w:val="0"/>
        <w:overflowPunct/>
        <w:topLinePunct w:val="0"/>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color w:val="0000FF"/>
          <w:sz w:val="44"/>
          <w:szCs w:val="44"/>
        </w:rPr>
      </w:pPr>
    </w:p>
    <w:p w14:paraId="5B832DFA">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color w:val="auto"/>
          <w:sz w:val="32"/>
          <w:szCs w:val="32"/>
        </w:rPr>
      </w:pPr>
      <w:r>
        <w:rPr>
          <w:rFonts w:hint="eastAsia" w:ascii="黑体" w:hAnsi="黑体" w:eastAsia="黑体" w:cs="黑体"/>
          <w:color w:val="auto"/>
          <w:sz w:val="32"/>
          <w:szCs w:val="32"/>
          <w:lang w:val="en-US" w:eastAsia="zh-CN"/>
        </w:rPr>
        <w:t>一、前三年</w:t>
      </w:r>
      <w:r>
        <w:rPr>
          <w:rFonts w:hint="eastAsia" w:ascii="黑体" w:hAnsi="黑体" w:eastAsia="黑体" w:cs="黑体"/>
          <w:color w:val="auto"/>
          <w:sz w:val="32"/>
          <w:szCs w:val="32"/>
        </w:rPr>
        <w:t>出口额(35分)</w:t>
      </w:r>
    </w:p>
    <w:p w14:paraId="42A52246">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hint="eastAsia" w:ascii="宋体" w:hAnsi="宋体" w:eastAsia="仿宋_GB2312"/>
          <w:sz w:val="32"/>
          <w:szCs w:val="32"/>
          <w:lang w:val="en-US" w:eastAsia="zh-CN"/>
        </w:rPr>
        <w:t>评分标准：</w:t>
      </w:r>
      <w:r>
        <w:rPr>
          <w:rFonts w:ascii="宋体" w:hAnsi="宋体" w:eastAsia="仿宋_GB2312"/>
          <w:sz w:val="32"/>
          <w:szCs w:val="32"/>
        </w:rPr>
        <w:t>按照企业广交会统计口径下的出口额进行统计，企业达到</w:t>
      </w:r>
      <w:r>
        <w:rPr>
          <w:rFonts w:hint="eastAsia" w:ascii="宋体" w:hAnsi="宋体" w:eastAsia="仿宋_GB2312"/>
          <w:sz w:val="32"/>
          <w:szCs w:val="32"/>
          <w:lang w:val="en-US" w:eastAsia="zh-CN"/>
        </w:rPr>
        <w:t>前三年平均</w:t>
      </w:r>
      <w:r>
        <w:rPr>
          <w:rFonts w:ascii="宋体" w:hAnsi="宋体" w:eastAsia="仿宋_GB2312"/>
          <w:sz w:val="32"/>
          <w:szCs w:val="32"/>
        </w:rPr>
        <w:t>最低出口标准(非流通型企业出口75万美元、流通型企业出口150万美元)得20分。以最低出口标准为基准，非流通型 企业</w:t>
      </w:r>
      <w:r>
        <w:rPr>
          <w:rFonts w:hint="eastAsia" w:ascii="宋体" w:hAnsi="宋体" w:eastAsia="仿宋_GB2312"/>
          <w:sz w:val="32"/>
          <w:szCs w:val="32"/>
          <w:lang w:val="en-US" w:eastAsia="zh-CN"/>
        </w:rPr>
        <w:t>前三年平均</w:t>
      </w:r>
      <w:r>
        <w:rPr>
          <w:rFonts w:ascii="宋体" w:hAnsi="宋体" w:eastAsia="仿宋_GB2312"/>
          <w:sz w:val="32"/>
          <w:szCs w:val="32"/>
        </w:rPr>
        <w:t>出口每增加75万美元或者增幅每增加10%得1分，流通型企业上年度出口每增加150万美元或者增幅每增加10%得</w:t>
      </w:r>
      <w:r>
        <w:rPr>
          <w:rFonts w:hint="eastAsia" w:ascii="宋体" w:hAnsi="宋体" w:eastAsia="仿宋_GB2312"/>
          <w:sz w:val="32"/>
          <w:szCs w:val="32"/>
          <w:lang w:val="en-US" w:eastAsia="zh-CN"/>
        </w:rPr>
        <w:t>1</w:t>
      </w:r>
      <w:r>
        <w:rPr>
          <w:rFonts w:ascii="宋体" w:hAnsi="宋体" w:eastAsia="仿宋_GB2312"/>
          <w:sz w:val="32"/>
          <w:szCs w:val="32"/>
        </w:rPr>
        <w:t>分，累计不超过35分。</w:t>
      </w:r>
    </w:p>
    <w:p w14:paraId="2B89DF40">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行业自律(5分)</w:t>
      </w:r>
    </w:p>
    <w:p w14:paraId="6B495F49">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hint="eastAsia" w:ascii="宋体" w:hAnsi="宋体" w:eastAsia="仿宋_GB2312"/>
          <w:sz w:val="32"/>
          <w:szCs w:val="32"/>
          <w:lang w:val="en-US" w:eastAsia="zh-CN"/>
        </w:rPr>
        <w:t>评分标准：</w:t>
      </w:r>
      <w:r>
        <w:rPr>
          <w:rFonts w:ascii="宋体" w:hAnsi="宋体" w:eastAsia="仿宋_GB2312"/>
          <w:sz w:val="32"/>
          <w:szCs w:val="32"/>
        </w:rPr>
        <w:t>积极应对国外针对我出口产品发起的“两反(反倾销、反补 贴)两保(保障措施、特别保障措施)”调查1分。积极参加行业集体协调，积极维护行业出口质量安全1分。遵守省团和分团组织纪律，包括按时缴纳参展费用、参展期间积极履行成交数据报送义务、配合省团和分团展位检查和调研工作等3分 。</w:t>
      </w:r>
    </w:p>
    <w:p w14:paraId="134E3047">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三、</w:t>
      </w:r>
      <w:r>
        <w:rPr>
          <w:rFonts w:hint="eastAsia" w:ascii="黑体" w:hAnsi="黑体" w:eastAsia="黑体" w:cs="黑体"/>
          <w:sz w:val="32"/>
          <w:szCs w:val="32"/>
        </w:rPr>
        <w:t>国际通行认证(10分)</w:t>
      </w:r>
    </w:p>
    <w:p w14:paraId="5CA7F805">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ascii="宋体" w:hAnsi="宋体" w:eastAsia="仿宋_GB2312"/>
          <w:sz w:val="32"/>
          <w:szCs w:val="32"/>
        </w:rPr>
        <w:t>国际通行的质量管理体系、环境管理体系或行业认证的有效 证书持有者须与展位申请企业一致，且覆盖产品应属于所申请展</w:t>
      </w:r>
    </w:p>
    <w:p w14:paraId="0C7D1FB3">
      <w:pPr>
        <w:keepNext w:val="0"/>
        <w:keepLines w:val="0"/>
        <w:pageBreakBefore w:val="0"/>
        <w:widowControl/>
        <w:kinsoku/>
        <w:wordWrap/>
        <w:overflowPunct w:val="0"/>
        <w:topLinePunct w:val="0"/>
        <w:autoSpaceDE w:val="0"/>
        <w:autoSpaceDN w:val="0"/>
        <w:bidi w:val="0"/>
        <w:adjustRightInd w:val="0"/>
        <w:snapToGrid w:val="0"/>
        <w:spacing w:line="560" w:lineRule="exact"/>
        <w:textAlignment w:val="baseline"/>
        <w:rPr>
          <w:rFonts w:ascii="宋体" w:hAnsi="宋体" w:eastAsia="仿宋_GB2312"/>
          <w:sz w:val="32"/>
          <w:szCs w:val="32"/>
        </w:rPr>
      </w:pPr>
      <w:r>
        <w:rPr>
          <w:rFonts w:ascii="宋体" w:hAnsi="宋体" w:eastAsia="仿宋_GB2312"/>
          <w:sz w:val="32"/>
          <w:szCs w:val="32"/>
        </w:rPr>
        <w:t>区规定的参展商品目录。</w:t>
      </w:r>
    </w:p>
    <w:p w14:paraId="12284375">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1.ISO9000系列质量管理体系。</w:t>
      </w:r>
    </w:p>
    <w:p w14:paraId="7EAA3F94">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2.ISO14000系列环境管理体系。</w:t>
      </w:r>
    </w:p>
    <w:p w14:paraId="099E525A">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3.ISO45000系列职业健康安全管理体系。</w:t>
      </w:r>
    </w:p>
    <w:p w14:paraId="76BD7875">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4.SA8000社会责任标准。</w:t>
      </w:r>
      <w:bookmarkStart w:id="0" w:name="_GoBack"/>
      <w:bookmarkEnd w:id="0"/>
    </w:p>
    <w:p w14:paraId="3E8CE346">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5.Oeko-Tex Standard 100生态纺织品认证。</w:t>
      </w:r>
    </w:p>
    <w:p w14:paraId="334383C7">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6.HACCP食品生产企业危害分析与关键控制点管理体系。</w:t>
      </w:r>
    </w:p>
    <w:p w14:paraId="667E70B8">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7.ISO/TS16949汽车行业质量体系。</w:t>
      </w:r>
    </w:p>
    <w:p w14:paraId="4851A95F">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default" w:ascii="宋体" w:hAnsi="宋体" w:eastAsia="仿宋_GB2312"/>
          <w:color w:val="auto"/>
          <w:sz w:val="32"/>
          <w:szCs w:val="32"/>
          <w:lang w:val="en-US" w:eastAsia="zh-CN"/>
        </w:rPr>
      </w:pPr>
      <w:r>
        <w:rPr>
          <w:rFonts w:hint="eastAsia" w:ascii="宋体" w:hAnsi="宋体" w:eastAsia="仿宋_GB2312"/>
          <w:color w:val="auto"/>
          <w:sz w:val="32"/>
          <w:szCs w:val="32"/>
          <w:lang w:val="en-US" w:eastAsia="zh-CN"/>
        </w:rPr>
        <w:t>评分标准：以上通行认证通过一项得3分，每增加一项得1分，累计不超过10分。</w:t>
      </w:r>
    </w:p>
    <w:p w14:paraId="16C7C099">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高新技术企业(5分)</w:t>
      </w:r>
    </w:p>
    <w:p w14:paraId="42574535">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hint="eastAsia" w:ascii="宋体" w:hAnsi="宋体" w:eastAsia="仿宋_GB2312"/>
          <w:sz w:val="32"/>
          <w:szCs w:val="32"/>
          <w:lang w:val="en-US" w:eastAsia="zh-CN"/>
        </w:rPr>
        <w:t>评分标准：</w:t>
      </w:r>
      <w:r>
        <w:rPr>
          <w:rFonts w:ascii="宋体" w:hAnsi="宋体" w:eastAsia="仿宋_GB2312"/>
          <w:sz w:val="32"/>
          <w:szCs w:val="32"/>
        </w:rPr>
        <w:t>高新技术企业的主营产品应属于申请展区规定的参展展品目录，证书在法定有效期内；获得国家级(包括2008年后由省级认定机构按国家标准认定的)高新技术企业称号的得5分。</w:t>
      </w:r>
    </w:p>
    <w:p w14:paraId="152D4CA7">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黑体" w:hAnsi="黑体" w:eastAsia="黑体" w:cs="黑体"/>
          <w:sz w:val="32"/>
          <w:szCs w:val="32"/>
        </w:rPr>
        <w:t>研发创新(10分)</w:t>
      </w:r>
    </w:p>
    <w:p w14:paraId="78E38C28">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hint="eastAsia" w:ascii="宋体" w:hAnsi="宋体" w:eastAsia="仿宋_GB2312"/>
          <w:sz w:val="32"/>
          <w:szCs w:val="32"/>
          <w:lang w:val="en-US" w:eastAsia="zh-CN"/>
        </w:rPr>
        <w:t>评分标准：</w:t>
      </w:r>
      <w:r>
        <w:rPr>
          <w:rFonts w:ascii="宋体" w:hAnsi="宋体" w:eastAsia="仿宋_GB2312"/>
          <w:sz w:val="32"/>
          <w:szCs w:val="32"/>
        </w:rPr>
        <w:t>每拥有一项发明专利得3分；每拥有一项实用新型专利得1分；外观专</w:t>
      </w:r>
      <w:r>
        <w:rPr>
          <w:rFonts w:ascii="宋体" w:hAnsi="宋体" w:eastAsia="仿宋_GB2312"/>
          <w:color w:val="auto"/>
          <w:sz w:val="32"/>
          <w:szCs w:val="32"/>
        </w:rPr>
        <w:t>利</w:t>
      </w:r>
      <w:r>
        <w:rPr>
          <w:rFonts w:hint="eastAsia" w:ascii="宋体" w:hAnsi="宋体" w:eastAsia="仿宋_GB2312"/>
          <w:color w:val="auto"/>
          <w:sz w:val="32"/>
          <w:szCs w:val="32"/>
          <w:lang w:eastAsia="zh-CN"/>
        </w:rPr>
        <w:t>（</w:t>
      </w:r>
      <w:r>
        <w:rPr>
          <w:rFonts w:hint="eastAsia" w:ascii="宋体" w:hAnsi="宋体" w:eastAsia="仿宋_GB2312"/>
          <w:color w:val="auto"/>
          <w:sz w:val="32"/>
          <w:szCs w:val="32"/>
          <w:lang w:val="en-US" w:eastAsia="zh-CN"/>
        </w:rPr>
        <w:t>10项外观专利按1项发明专列加1分</w:t>
      </w:r>
      <w:r>
        <w:rPr>
          <w:rFonts w:hint="eastAsia" w:ascii="宋体" w:hAnsi="宋体" w:eastAsia="仿宋_GB2312"/>
          <w:color w:val="auto"/>
          <w:sz w:val="32"/>
          <w:szCs w:val="32"/>
          <w:lang w:eastAsia="zh-CN"/>
        </w:rPr>
        <w:t>）</w:t>
      </w:r>
      <w:r>
        <w:rPr>
          <w:rFonts w:hint="eastAsia" w:ascii="宋体" w:hAnsi="宋体" w:eastAsia="仿宋_GB2312"/>
          <w:sz w:val="32"/>
          <w:szCs w:val="32"/>
          <w:lang w:eastAsia="zh-CN"/>
        </w:rPr>
        <w:t>、</w:t>
      </w:r>
      <w:r>
        <w:rPr>
          <w:rFonts w:ascii="宋体" w:hAnsi="宋体" w:eastAsia="仿宋_GB2312"/>
          <w:sz w:val="32"/>
          <w:szCs w:val="32"/>
        </w:rPr>
        <w:t>版权</w:t>
      </w:r>
      <w:r>
        <w:rPr>
          <w:rFonts w:hint="eastAsia" w:ascii="宋体" w:hAnsi="宋体" w:eastAsia="仿宋_GB2312"/>
          <w:sz w:val="32"/>
          <w:szCs w:val="32"/>
          <w:lang w:eastAsia="zh-CN"/>
        </w:rPr>
        <w:t>（</w:t>
      </w:r>
      <w:r>
        <w:rPr>
          <w:rFonts w:ascii="宋体" w:hAnsi="宋体" w:eastAsia="仿宋_GB2312"/>
          <w:sz w:val="32"/>
          <w:szCs w:val="32"/>
        </w:rPr>
        <w:t>每</w:t>
      </w:r>
      <w:r>
        <w:rPr>
          <w:rFonts w:hint="eastAsia" w:ascii="宋体" w:hAnsi="宋体" w:eastAsia="仿宋_GB2312"/>
          <w:sz w:val="32"/>
          <w:szCs w:val="32"/>
          <w:lang w:val="en-US" w:eastAsia="zh-CN"/>
        </w:rPr>
        <w:t>5</w:t>
      </w:r>
      <w:r>
        <w:rPr>
          <w:rFonts w:ascii="宋体" w:hAnsi="宋体" w:eastAsia="仿宋_GB2312"/>
          <w:sz w:val="32"/>
          <w:szCs w:val="32"/>
        </w:rPr>
        <w:t>项加1分</w:t>
      </w:r>
      <w:r>
        <w:rPr>
          <w:rFonts w:hint="eastAsia" w:ascii="宋体" w:hAnsi="宋体" w:eastAsia="仿宋_GB2312"/>
          <w:sz w:val="32"/>
          <w:szCs w:val="32"/>
          <w:lang w:eastAsia="zh-CN"/>
        </w:rPr>
        <w:t>）</w:t>
      </w:r>
      <w:r>
        <w:rPr>
          <w:rFonts w:ascii="宋体" w:hAnsi="宋体" w:eastAsia="仿宋_GB2312"/>
          <w:sz w:val="32"/>
          <w:szCs w:val="32"/>
        </w:rPr>
        <w:t>，累计不超过5分。每制定或修订一个产品(技术)的国家标准或者行业标准得3分，最多不超过5分。以上累计不超过10分。</w:t>
      </w:r>
    </w:p>
    <w:p w14:paraId="300A85D8">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六、</w:t>
      </w:r>
      <w:r>
        <w:rPr>
          <w:rFonts w:hint="eastAsia" w:ascii="黑体" w:hAnsi="黑体" w:eastAsia="黑体" w:cs="黑体"/>
          <w:sz w:val="32"/>
          <w:szCs w:val="32"/>
        </w:rPr>
        <w:t>境内外商标注册(5分)</w:t>
      </w:r>
    </w:p>
    <w:p w14:paraId="60C0BA7B">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sz w:val="32"/>
          <w:szCs w:val="32"/>
        </w:rPr>
      </w:pPr>
      <w:r>
        <w:rPr>
          <w:rFonts w:hint="eastAsia" w:ascii="宋体" w:hAnsi="宋体" w:eastAsia="仿宋_GB2312"/>
          <w:sz w:val="32"/>
          <w:szCs w:val="32"/>
          <w:lang w:val="en-US" w:eastAsia="zh-CN"/>
        </w:rPr>
        <w:t>评分标准：</w:t>
      </w:r>
      <w:r>
        <w:rPr>
          <w:rFonts w:ascii="宋体" w:hAnsi="宋体" w:eastAsia="仿宋_GB2312"/>
          <w:sz w:val="32"/>
          <w:szCs w:val="32"/>
        </w:rPr>
        <w:t>境内外注册商标持有者须与展位申请企业一致，商标覆盖的</w:t>
      </w:r>
    </w:p>
    <w:p w14:paraId="3B5BF7DC">
      <w:pPr>
        <w:keepNext w:val="0"/>
        <w:keepLines w:val="0"/>
        <w:pageBreakBefore w:val="0"/>
        <w:widowControl/>
        <w:kinsoku/>
        <w:wordWrap/>
        <w:overflowPunct w:val="0"/>
        <w:topLinePunct w:val="0"/>
        <w:autoSpaceDE w:val="0"/>
        <w:autoSpaceDN w:val="0"/>
        <w:bidi w:val="0"/>
        <w:adjustRightInd w:val="0"/>
        <w:snapToGrid w:val="0"/>
        <w:spacing w:line="560" w:lineRule="exact"/>
        <w:textAlignment w:val="baseline"/>
        <w:rPr>
          <w:rFonts w:ascii="宋体" w:hAnsi="宋体" w:eastAsia="仿宋_GB2312"/>
          <w:sz w:val="32"/>
          <w:szCs w:val="32"/>
        </w:rPr>
      </w:pPr>
      <w:r>
        <w:rPr>
          <w:rFonts w:ascii="宋体" w:hAnsi="宋体" w:eastAsia="仿宋_GB2312"/>
          <w:sz w:val="32"/>
          <w:szCs w:val="32"/>
        </w:rPr>
        <w:t>产品应属于所申请展区规定的参展商品目录。属商标转让的，应提交有关证明材料。有境内注册商标的加1分。境外商标在一个国家(地区)注 册(包括注册多个)得1分，每增加一个国家(地区)加1分。获得欧共体市场协调局(OHIM)注册、在欧盟国家内有效的商标，按5分计算。获得“马德里协定”国际注册的(简称“WIPO”或“OMPI”) 以协定国数量计分。在“比荷卢” (Benelux) 商标联盟注册的，计3分，累计不超过5分。</w:t>
      </w:r>
    </w:p>
    <w:p w14:paraId="5EF27C46">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七、品牌荣誉（5分）</w:t>
      </w:r>
    </w:p>
    <w:p w14:paraId="1A141B33">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default" w:ascii="宋体" w:hAnsi="宋体" w:eastAsia="仿宋_GB2312"/>
          <w:b w:val="0"/>
          <w:bCs w:val="0"/>
          <w:color w:val="auto"/>
          <w:sz w:val="32"/>
          <w:szCs w:val="32"/>
          <w:lang w:val="en-US" w:eastAsia="zh-CN"/>
        </w:rPr>
      </w:pPr>
      <w:r>
        <w:rPr>
          <w:rFonts w:hint="eastAsia" w:ascii="宋体" w:hAnsi="宋体" w:eastAsia="仿宋_GB2312"/>
          <w:b w:val="0"/>
          <w:bCs w:val="0"/>
          <w:color w:val="auto"/>
          <w:sz w:val="32"/>
          <w:szCs w:val="32"/>
          <w:lang w:val="en-US" w:eastAsia="zh-CN"/>
        </w:rPr>
        <w:t>评分标准：获得国家得2分或省级品牌认证得1分。通过一项国家级认证得2分，通过一项省级认证得1分，每增加国家级一项加2分、省级一项加1分，累计不超过5分。</w:t>
      </w:r>
    </w:p>
    <w:p w14:paraId="4B01EC1A">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八、参展需求度（5分）</w:t>
      </w:r>
    </w:p>
    <w:p w14:paraId="6F5ADFD7">
      <w:pPr>
        <w:keepNext w:val="0"/>
        <w:keepLines w:val="0"/>
        <w:pageBreakBefore w:val="0"/>
        <w:widowControl/>
        <w:topLinePunct w:val="0"/>
        <w:autoSpaceDE w:val="0"/>
        <w:autoSpaceDN w:val="0"/>
        <w:bidi w:val="0"/>
        <w:adjustRightInd w:val="0"/>
        <w:snapToGrid w:val="0"/>
        <w:spacing w:line="560" w:lineRule="exact"/>
        <w:ind w:firstLine="645"/>
        <w:textAlignment w:val="baseline"/>
        <w:rPr>
          <w:rFonts w:ascii="仿宋_GB2312" w:eastAsia="仿宋_GB2312"/>
          <w:bCs/>
          <w:color w:val="000000" w:themeColor="text1"/>
          <w:sz w:val="32"/>
          <w:szCs w:val="32"/>
          <w14:textFill>
            <w14:solidFill>
              <w14:schemeClr w14:val="tx1"/>
            </w14:solidFill>
          </w14:textFill>
        </w:rPr>
      </w:pPr>
      <w:r>
        <w:rPr>
          <w:rFonts w:hint="eastAsia" w:ascii="仿宋_GB2312" w:eastAsia="仿宋_GB2312"/>
          <w:bCs/>
          <w:color w:val="000000" w:themeColor="text1"/>
          <w:sz w:val="32"/>
          <w:szCs w:val="32"/>
          <w:lang w:val="en-US" w:eastAsia="zh-CN"/>
          <w14:textFill>
            <w14:solidFill>
              <w14:schemeClr w14:val="tx1"/>
            </w14:solidFill>
          </w14:textFill>
        </w:rPr>
        <w:t>评分标准：</w:t>
      </w:r>
      <w:r>
        <w:rPr>
          <w:rFonts w:hint="eastAsia" w:ascii="仿宋_GB2312" w:eastAsia="仿宋_GB2312"/>
          <w:bCs/>
          <w:color w:val="000000" w:themeColor="text1"/>
          <w:sz w:val="32"/>
          <w:szCs w:val="32"/>
          <w14:textFill>
            <w14:solidFill>
              <w14:schemeClr w14:val="tx1"/>
            </w14:solidFill>
          </w14:textFill>
        </w:rPr>
        <w:t>满足参展条件，连续申请4届以上未安排展位企业</w:t>
      </w:r>
      <w:r>
        <w:rPr>
          <w:rFonts w:hint="eastAsia" w:ascii="宋体" w:hAnsi="宋体" w:eastAsia="仿宋_GB2312"/>
          <w:color w:val="000000" w:themeColor="text1"/>
          <w:sz w:val="32"/>
          <w:szCs w:val="32"/>
          <w:lang w:val="en-US" w:eastAsia="zh-CN"/>
          <w14:textFill>
            <w14:solidFill>
              <w14:schemeClr w14:val="tx1"/>
            </w14:solidFill>
          </w14:textFill>
        </w:rPr>
        <w:t>得5分</w:t>
      </w:r>
      <w:r>
        <w:rPr>
          <w:rFonts w:hint="eastAsia" w:ascii="仿宋_GB2312" w:eastAsia="仿宋_GB2312"/>
          <w:bCs/>
          <w:color w:val="000000" w:themeColor="text1"/>
          <w:sz w:val="32"/>
          <w:szCs w:val="32"/>
          <w14:textFill>
            <w14:solidFill>
              <w14:schemeClr w14:val="tx1"/>
            </w14:solidFill>
          </w14:textFill>
        </w:rPr>
        <w:t>。</w:t>
      </w:r>
    </w:p>
    <w:p w14:paraId="6A94AEF8">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default"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九、重点推荐企业（10分）</w:t>
      </w:r>
    </w:p>
    <w:p w14:paraId="2D85160C">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olor w:val="000000" w:themeColor="text1"/>
          <w:sz w:val="32"/>
          <w:szCs w:val="32"/>
          <w:lang w:eastAsia="zh-CN"/>
          <w14:textFill>
            <w14:solidFill>
              <w14:schemeClr w14:val="tx1"/>
            </w14:solidFill>
          </w14:textFill>
        </w:rPr>
      </w:pPr>
      <w:r>
        <w:rPr>
          <w:rFonts w:hint="eastAsia" w:ascii="宋体" w:hAnsi="宋体" w:eastAsia="仿宋_GB2312"/>
          <w:color w:val="000000" w:themeColor="text1"/>
          <w:sz w:val="32"/>
          <w:szCs w:val="32"/>
          <w:lang w:val="en-US" w:eastAsia="zh-CN"/>
          <w14:textFill>
            <w14:solidFill>
              <w14:schemeClr w14:val="tx1"/>
            </w14:solidFill>
          </w14:textFill>
        </w:rPr>
        <w:t>评分标准：</w:t>
      </w:r>
      <w:r>
        <w:rPr>
          <w:rFonts w:hint="eastAsia" w:ascii="宋体" w:hAnsi="宋体" w:eastAsia="仿宋_GB2312"/>
          <w:color w:val="000000" w:themeColor="text1"/>
          <w:sz w:val="32"/>
          <w:szCs w:val="32"/>
          <w14:textFill>
            <w14:solidFill>
              <w14:schemeClr w14:val="tx1"/>
            </w14:solidFill>
          </w14:textFill>
        </w:rPr>
        <w:t>对增长速度快，发展潜力大，持续成长性好，带动能力强的</w:t>
      </w:r>
      <w:r>
        <w:rPr>
          <w:rFonts w:hint="eastAsia" w:ascii="宋体" w:hAnsi="宋体" w:eastAsia="仿宋_GB2312"/>
          <w:color w:val="000000" w:themeColor="text1"/>
          <w:sz w:val="32"/>
          <w:szCs w:val="32"/>
          <w:lang w:val="en-US" w:eastAsia="zh-CN"/>
          <w14:textFill>
            <w14:solidFill>
              <w14:schemeClr w14:val="tx1"/>
            </w14:solidFill>
          </w14:textFill>
        </w:rPr>
        <w:t>各区市</w:t>
      </w:r>
      <w:r>
        <w:rPr>
          <w:rFonts w:hint="eastAsia" w:ascii="宋体" w:hAnsi="宋体" w:eastAsia="仿宋_GB2312"/>
          <w:color w:val="000000" w:themeColor="text1"/>
          <w:sz w:val="32"/>
          <w:szCs w:val="32"/>
          <w14:textFill>
            <w14:solidFill>
              <w14:schemeClr w14:val="tx1"/>
            </w14:solidFill>
          </w14:textFill>
        </w:rPr>
        <w:t>推荐企业，增加赋分5分</w:t>
      </w:r>
      <w:r>
        <w:rPr>
          <w:rFonts w:hint="eastAsia" w:ascii="宋体" w:hAnsi="宋体" w:eastAsia="仿宋_GB2312"/>
          <w:color w:val="000000" w:themeColor="text1"/>
          <w:sz w:val="32"/>
          <w:szCs w:val="32"/>
          <w:lang w:eastAsia="zh-CN"/>
          <w14:textFill>
            <w14:solidFill>
              <w14:schemeClr w14:val="tx1"/>
            </w14:solidFill>
          </w14:textFill>
        </w:rPr>
        <w:t>；</w:t>
      </w:r>
      <w:r>
        <w:rPr>
          <w:rFonts w:hint="eastAsia" w:ascii="宋体" w:hAnsi="宋体" w:eastAsia="仿宋_GB2312"/>
          <w:color w:val="000000" w:themeColor="text1"/>
          <w:sz w:val="32"/>
          <w:szCs w:val="32"/>
          <w14:textFill>
            <w14:solidFill>
              <w14:schemeClr w14:val="tx1"/>
            </w14:solidFill>
          </w14:textFill>
        </w:rPr>
        <w:t>积极参加山东省商务厅和威海市商务局重点组织的境内外展会及其他重大商务活动</w:t>
      </w:r>
      <w:r>
        <w:rPr>
          <w:rFonts w:hint="eastAsia" w:ascii="宋体" w:hAnsi="宋体" w:eastAsia="仿宋_GB2312"/>
          <w:color w:val="000000" w:themeColor="text1"/>
          <w:sz w:val="32"/>
          <w:szCs w:val="32"/>
          <w:lang w:val="en-US" w:eastAsia="zh-CN"/>
          <w14:textFill>
            <w14:solidFill>
              <w14:schemeClr w14:val="tx1"/>
            </w14:solidFill>
          </w14:textFill>
        </w:rPr>
        <w:t>5分</w:t>
      </w:r>
      <w:r>
        <w:rPr>
          <w:rFonts w:hint="eastAsia" w:ascii="宋体" w:hAnsi="宋体" w:eastAsia="仿宋_GB2312"/>
          <w:color w:val="000000" w:themeColor="text1"/>
          <w:sz w:val="32"/>
          <w:szCs w:val="32"/>
          <w:lang w:eastAsia="zh-CN"/>
          <w14:textFill>
            <w14:solidFill>
              <w14:schemeClr w14:val="tx1"/>
            </w14:solidFill>
          </w14:textFill>
        </w:rPr>
        <w:t>，</w:t>
      </w:r>
      <w:r>
        <w:rPr>
          <w:rFonts w:hint="eastAsia" w:ascii="宋体" w:hAnsi="宋体" w:eastAsia="仿宋_GB2312"/>
          <w:color w:val="000000" w:themeColor="text1"/>
          <w:sz w:val="32"/>
          <w:szCs w:val="32"/>
          <w14:textFill>
            <w14:solidFill>
              <w14:schemeClr w14:val="tx1"/>
            </w14:solidFill>
          </w14:textFill>
        </w:rPr>
        <w:t>每次计1分，累计不超过5分</w:t>
      </w:r>
      <w:r>
        <w:rPr>
          <w:rFonts w:ascii="宋体" w:hAnsi="宋体" w:eastAsia="仿宋_GB2312"/>
          <w:color w:val="000000" w:themeColor="text1"/>
          <w:sz w:val="32"/>
          <w:szCs w:val="32"/>
          <w14:textFill>
            <w14:solidFill>
              <w14:schemeClr w14:val="tx1"/>
            </w14:solidFill>
          </w14:textFill>
        </w:rPr>
        <w:t>。</w:t>
      </w:r>
      <w:r>
        <w:rPr>
          <w:rFonts w:hint="eastAsia" w:ascii="宋体" w:hAnsi="宋体" w:eastAsia="仿宋_GB2312"/>
          <w:color w:val="000000" w:themeColor="text1"/>
          <w:sz w:val="32"/>
          <w:szCs w:val="32"/>
          <w:lang w:eastAsia="zh-CN"/>
          <w14:textFill>
            <w14:solidFill>
              <w14:schemeClr w14:val="tx1"/>
            </w14:solidFill>
          </w14:textFill>
        </w:rPr>
        <w:t>（</w:t>
      </w:r>
      <w:r>
        <w:rPr>
          <w:rFonts w:hint="eastAsia" w:ascii="宋体" w:hAnsi="宋体" w:eastAsia="仿宋_GB2312"/>
          <w:color w:val="000000" w:themeColor="text1"/>
          <w:sz w:val="32"/>
          <w:szCs w:val="32"/>
          <w:lang w:val="en-US" w:eastAsia="zh-CN"/>
          <w14:textFill>
            <w14:solidFill>
              <w14:schemeClr w14:val="tx1"/>
            </w14:solidFill>
          </w14:textFill>
        </w:rPr>
        <w:t>由各区市商务主管部门推荐，推荐样式可参考附件3-1</w:t>
      </w:r>
      <w:r>
        <w:rPr>
          <w:rFonts w:hint="eastAsia" w:ascii="宋体" w:hAnsi="宋体" w:eastAsia="仿宋_GB2312"/>
          <w:color w:val="000000" w:themeColor="text1"/>
          <w:sz w:val="32"/>
          <w:szCs w:val="32"/>
          <w:lang w:eastAsia="zh-CN"/>
          <w14:textFill>
            <w14:solidFill>
              <w14:schemeClr w14:val="tx1"/>
            </w14:solidFill>
          </w14:textFill>
        </w:rPr>
        <w:t>）</w:t>
      </w:r>
    </w:p>
    <w:p w14:paraId="3918A370">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十、国家、省、市级重点企业（10分）</w:t>
      </w:r>
    </w:p>
    <w:p w14:paraId="619F063C">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ascii="宋体" w:hAnsi="宋体" w:eastAsia="仿宋_GB2312"/>
          <w:color w:val="000000" w:themeColor="text1"/>
          <w:sz w:val="32"/>
          <w:szCs w:val="32"/>
          <w14:textFill>
            <w14:solidFill>
              <w14:schemeClr w14:val="tx1"/>
            </w14:solidFill>
          </w14:textFill>
        </w:rPr>
      </w:pPr>
      <w:r>
        <w:rPr>
          <w:rFonts w:hint="eastAsia" w:ascii="宋体" w:hAnsi="宋体" w:eastAsia="仿宋_GB2312"/>
          <w:color w:val="000000" w:themeColor="text1"/>
          <w:sz w:val="32"/>
          <w:szCs w:val="32"/>
          <w:lang w:val="en-US" w:eastAsia="zh-CN"/>
          <w14:textFill>
            <w14:solidFill>
              <w14:schemeClr w14:val="tx1"/>
            </w14:solidFill>
          </w14:textFill>
        </w:rPr>
        <w:t>评分标准：</w:t>
      </w:r>
      <w:r>
        <w:rPr>
          <w:rFonts w:hint="eastAsia" w:ascii="宋体" w:hAnsi="宋体" w:eastAsia="仿宋_GB2312"/>
          <w:color w:val="000000" w:themeColor="text1"/>
          <w:sz w:val="32"/>
          <w:szCs w:val="32"/>
          <w14:textFill>
            <w14:solidFill>
              <w14:schemeClr w14:val="tx1"/>
            </w14:solidFill>
          </w14:textFill>
        </w:rPr>
        <w:t>为落实国家、省、市有关政策需重点支持的省市级推荐企业</w:t>
      </w:r>
      <w:r>
        <w:rPr>
          <w:rFonts w:ascii="宋体" w:hAnsi="宋体" w:eastAsia="仿宋_GB2312"/>
          <w:color w:val="000000" w:themeColor="text1"/>
          <w:sz w:val="32"/>
          <w:szCs w:val="32"/>
          <w14:textFill>
            <w14:solidFill>
              <w14:schemeClr w14:val="tx1"/>
            </w14:solidFill>
          </w14:textFill>
        </w:rPr>
        <w:t>(如推进国家级、省级、市级试点工作贡献突出，新业态创新能力强，对全省全市外贸企业发展起到引领示范作用等)增加赋分</w:t>
      </w:r>
      <w:r>
        <w:rPr>
          <w:rFonts w:hint="eastAsia" w:ascii="宋体" w:hAnsi="宋体" w:eastAsia="仿宋_GB2312"/>
          <w:color w:val="000000" w:themeColor="text1"/>
          <w:sz w:val="32"/>
          <w:szCs w:val="32"/>
          <w:lang w:eastAsia="zh-CN"/>
          <w14:textFill>
            <w14:solidFill>
              <w14:schemeClr w14:val="tx1"/>
            </w14:solidFill>
          </w14:textFill>
        </w:rPr>
        <w:t>，</w:t>
      </w:r>
      <w:r>
        <w:rPr>
          <w:rFonts w:ascii="宋体" w:hAnsi="宋体" w:eastAsia="仿宋_GB2312"/>
          <w:color w:val="000000" w:themeColor="text1"/>
          <w:sz w:val="32"/>
          <w:szCs w:val="32"/>
          <w14:textFill>
            <w14:solidFill>
              <w14:schemeClr w14:val="tx1"/>
            </w14:solidFill>
          </w14:textFill>
        </w:rPr>
        <w:t>每一项计2分，累计不超过10分。</w:t>
      </w:r>
    </w:p>
    <w:p w14:paraId="770D257D">
      <w:pPr>
        <w:keepNext w:val="0"/>
        <w:keepLines w:val="0"/>
        <w:pageBreakBefore w:val="0"/>
        <w:widowControl/>
        <w:kinsoku/>
        <w:wordWrap/>
        <w:overflowPunct w:val="0"/>
        <w:topLinePunct w:val="0"/>
        <w:autoSpaceDE w:val="0"/>
        <w:autoSpaceDN w:val="0"/>
        <w:bidi w:val="0"/>
        <w:adjustRightInd w:val="0"/>
        <w:snapToGrid w:val="0"/>
        <w:spacing w:line="560" w:lineRule="exact"/>
        <w:ind w:firstLine="640" w:firstLineChars="200"/>
        <w:textAlignment w:val="baseline"/>
        <w:rPr>
          <w:rFonts w:hint="eastAsia" w:ascii="黑体" w:hAnsi="黑体" w:eastAsia="黑体" w:cs="黑体"/>
          <w:sz w:val="32"/>
          <w:szCs w:val="32"/>
        </w:rPr>
      </w:pPr>
      <w:r>
        <w:rPr>
          <w:rFonts w:hint="eastAsia" w:ascii="黑体" w:hAnsi="黑体" w:eastAsia="黑体" w:cs="黑体"/>
          <w:sz w:val="32"/>
          <w:szCs w:val="32"/>
          <w:lang w:val="en-US" w:eastAsia="zh-CN"/>
        </w:rPr>
        <w:t>十一、</w:t>
      </w:r>
      <w:r>
        <w:rPr>
          <w:rFonts w:hint="eastAsia" w:ascii="黑体" w:hAnsi="黑体" w:eastAsia="黑体" w:cs="黑体"/>
          <w:sz w:val="32"/>
          <w:szCs w:val="32"/>
        </w:rPr>
        <w:t>对在申报过程中出现人为造假情况的企业实行一票否决，不得参与评分。</w:t>
      </w:r>
    </w:p>
    <w:p w14:paraId="045570D7">
      <w:pPr>
        <w:keepNext w:val="0"/>
        <w:keepLines w:val="0"/>
        <w:pageBreakBefore w:val="0"/>
        <w:widowControl/>
        <w:kinsoku/>
        <w:wordWrap w:val="0"/>
        <w:overflowPunct/>
        <w:topLinePunct w:val="0"/>
        <w:autoSpaceDE w:val="0"/>
        <w:autoSpaceDN w:val="0"/>
        <w:bidi w:val="0"/>
        <w:adjustRightInd w:val="0"/>
        <w:snapToGrid w:val="0"/>
        <w:spacing w:line="560" w:lineRule="exact"/>
        <w:ind w:firstLine="640" w:firstLineChars="200"/>
        <w:textAlignment w:val="baseline"/>
        <w:rPr>
          <w:rFonts w:hint="eastAsia" w:ascii="宋体" w:hAnsi="宋体" w:eastAsia="仿宋_GB2312" w:cs="仿宋_GB2312"/>
          <w:sz w:val="32"/>
          <w:szCs w:val="32"/>
        </w:rPr>
      </w:pPr>
    </w:p>
    <w:sectPr>
      <w:footerReference r:id="rId5" w:type="default"/>
      <w:pgSz w:w="11906" w:h="16838"/>
      <w:pgMar w:top="2098" w:right="1474" w:bottom="1701"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2C718">
    <w:pPr>
      <w:spacing w:line="173" w:lineRule="auto"/>
      <w:ind w:left="4340"/>
      <w:rPr>
        <w:rFonts w:ascii="宋体" w:hAnsi="宋体" w:eastAsia="宋体" w:cs="宋体"/>
        <w:sz w:val="19"/>
        <w:szCs w:val="19"/>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2NDE5Y2M4NDUzYWNiZGRjZmFlNWU3ODRlYjBjZjAifQ=="/>
  </w:docVars>
  <w:rsids>
    <w:rsidRoot w:val="00000000"/>
    <w:rsid w:val="113A7F53"/>
    <w:rsid w:val="1F55206A"/>
    <w:rsid w:val="224D76C5"/>
    <w:rsid w:val="58E36829"/>
    <w:rsid w:val="6D995C5A"/>
    <w:rsid w:val="765E6272"/>
    <w:rsid w:val="7DA925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1908</Words>
  <Characters>2101</Characters>
  <Lines>0</Lines>
  <Paragraphs>0</Paragraphs>
  <TotalTime>6</TotalTime>
  <ScaleCrop>false</ScaleCrop>
  <LinksUpToDate>false</LinksUpToDate>
  <CharactersWithSpaces>2133</CharactersWithSpaces>
  <Application>WPS Office_12.1.0.18372_F1E327BC-269C-435d-A152-05C5408002CA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2024-05-20T01:43:00Z</dcterms:created>
  <dc:creator>18663</dc:creator>
  <cp:lastModifiedBy>宇 </cp:lastModifiedBy>
  <cp:lastPrinted>2024-11-27T01:34:06Z</cp:lastPrinted>
  <dcterms:modified xsi:type="dcterms:W3CDTF">2024-11-27T02:31:59Z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2052-12.1.0.18372</vt:lpwstr>
  </property>
  <property fmtid="{D5CDD505-2E9C-101B-9397-08002B2CF9AE}" pid="3" name="ICV">
    <vt:lpwstr>62C1E425309740D8B7C4B3B69A199E9B_12</vt:lpwstr>
  </property>
</Properties>
</file>