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0E2C" w:rsidRDefault="002D0E2C">
      <w:pPr>
        <w:rPr>
          <w:rFonts w:ascii="LinTimes" w:eastAsia="仿宋_GB2312" w:hAnsi="LinTimes" w:cs="LinTimes"/>
          <w:color w:val="000000" w:themeColor="text1"/>
          <w:sz w:val="32"/>
          <w:szCs w:val="32"/>
        </w:rPr>
      </w:pPr>
      <w:bookmarkStart w:id="0" w:name="_GoBack"/>
      <w:bookmarkEnd w:id="0"/>
    </w:p>
    <w:p w:rsidR="002D0E2C" w:rsidRDefault="005B0E0F">
      <w:pPr>
        <w:jc w:val="center"/>
        <w:rPr>
          <w:rFonts w:ascii="LinTimes" w:eastAsia="方正小标宋简体" w:hAnsi="LinTimes" w:cs="LinTimes"/>
          <w:color w:val="000000" w:themeColor="text1"/>
          <w:sz w:val="36"/>
          <w:szCs w:val="36"/>
        </w:rPr>
      </w:pPr>
      <w:r>
        <w:rPr>
          <w:rFonts w:ascii="LinTimes" w:eastAsia="方正小标宋简体" w:hAnsi="LinTimes" w:cs="LinTimes"/>
          <w:color w:val="000000" w:themeColor="text1"/>
          <w:sz w:val="36"/>
          <w:szCs w:val="36"/>
        </w:rPr>
        <w:t>商务部等</w:t>
      </w:r>
      <w:r>
        <w:rPr>
          <w:rFonts w:ascii="LinTimes" w:eastAsia="方正小标宋简体" w:hAnsi="LinTimes" w:cs="LinTimes"/>
          <w:color w:val="000000" w:themeColor="text1"/>
          <w:sz w:val="36"/>
          <w:szCs w:val="36"/>
        </w:rPr>
        <w:t>14</w:t>
      </w:r>
      <w:r>
        <w:rPr>
          <w:rFonts w:ascii="LinTimes" w:eastAsia="方正小标宋简体" w:hAnsi="LinTimes" w:cs="LinTimes"/>
          <w:color w:val="000000" w:themeColor="text1"/>
          <w:sz w:val="36"/>
          <w:szCs w:val="36"/>
        </w:rPr>
        <w:t>部门</w:t>
      </w:r>
    </w:p>
    <w:p w:rsidR="002D0E2C" w:rsidRDefault="005B0E0F">
      <w:pPr>
        <w:jc w:val="center"/>
        <w:rPr>
          <w:rFonts w:ascii="LinTimes" w:eastAsia="方正小标宋简体" w:hAnsi="LinTimes" w:cs="LinTimes"/>
          <w:color w:val="000000" w:themeColor="text1"/>
          <w:sz w:val="36"/>
          <w:szCs w:val="36"/>
        </w:rPr>
      </w:pPr>
      <w:r>
        <w:rPr>
          <w:rFonts w:ascii="LinTimes" w:eastAsia="方正小标宋简体" w:hAnsi="LinTimes" w:cs="LinTimes"/>
          <w:color w:val="000000" w:themeColor="text1"/>
          <w:sz w:val="36"/>
          <w:szCs w:val="36"/>
        </w:rPr>
        <w:t>关于培育建设国际消费中心城市的指导意见</w:t>
      </w:r>
    </w:p>
    <w:p w:rsidR="002D0E2C" w:rsidRDefault="002D0E2C">
      <w:pPr>
        <w:jc w:val="center"/>
        <w:rPr>
          <w:rFonts w:ascii="LinTimes" w:eastAsia="仿宋_GB2312" w:hAnsi="LinTimes" w:cs="LinTimes"/>
          <w:color w:val="000000" w:themeColor="text1"/>
          <w:sz w:val="32"/>
          <w:szCs w:val="32"/>
        </w:rPr>
      </w:pPr>
    </w:p>
    <w:p w:rsidR="002D0E2C" w:rsidRDefault="005B0E0F">
      <w:pPr>
        <w:jc w:val="center"/>
        <w:rPr>
          <w:rFonts w:ascii="LinTimes" w:eastAsia="仿宋_GB2312" w:hAnsi="LinTimes" w:cs="LinTimes"/>
          <w:color w:val="000000" w:themeColor="text1"/>
          <w:sz w:val="32"/>
          <w:szCs w:val="32"/>
        </w:rPr>
      </w:pPr>
      <w:r>
        <w:rPr>
          <w:rFonts w:ascii="LinTimes" w:eastAsia="仿宋_GB2312" w:hAnsi="LinTimes" w:cs="LinTimes"/>
          <w:color w:val="000000" w:themeColor="text1"/>
          <w:sz w:val="32"/>
          <w:szCs w:val="32"/>
        </w:rPr>
        <w:t>商运发〔</w:t>
      </w:r>
      <w:r>
        <w:rPr>
          <w:rFonts w:ascii="LinTimes" w:eastAsia="仿宋_GB2312" w:hAnsi="LinTimes" w:cs="LinTimes"/>
          <w:color w:val="000000" w:themeColor="text1"/>
          <w:sz w:val="32"/>
          <w:szCs w:val="32"/>
        </w:rPr>
        <w:t>2019</w:t>
      </w:r>
      <w:r>
        <w:rPr>
          <w:rFonts w:ascii="LinTimes" w:eastAsia="仿宋_GB2312" w:hAnsi="LinTimes" w:cs="LinTimes"/>
          <w:color w:val="000000" w:themeColor="text1"/>
          <w:sz w:val="32"/>
          <w:szCs w:val="32"/>
        </w:rPr>
        <w:t>〕</w:t>
      </w:r>
      <w:r>
        <w:rPr>
          <w:rFonts w:ascii="LinTimes" w:eastAsia="仿宋_GB2312" w:hAnsi="LinTimes" w:cs="LinTimes"/>
          <w:color w:val="000000" w:themeColor="text1"/>
          <w:sz w:val="32"/>
          <w:szCs w:val="32"/>
        </w:rPr>
        <w:t>309</w:t>
      </w:r>
      <w:r>
        <w:rPr>
          <w:rFonts w:ascii="LinTimes" w:eastAsia="仿宋_GB2312" w:hAnsi="LinTimes" w:cs="LinTimes"/>
          <w:color w:val="000000" w:themeColor="text1"/>
          <w:sz w:val="32"/>
          <w:szCs w:val="32"/>
        </w:rPr>
        <w:t>号</w:t>
      </w:r>
    </w:p>
    <w:p w:rsidR="002D0E2C" w:rsidRDefault="002D0E2C">
      <w:pPr>
        <w:rPr>
          <w:rFonts w:ascii="LinTimes" w:eastAsia="方正小标宋简体" w:hAnsi="LinTimes" w:cs="LinTimes"/>
          <w:color w:val="000000" w:themeColor="text1"/>
          <w:sz w:val="36"/>
          <w:szCs w:val="36"/>
        </w:rPr>
      </w:pPr>
    </w:p>
    <w:p w:rsidR="002D0E2C" w:rsidRDefault="005B0E0F">
      <w:pPr>
        <w:ind w:firstLineChars="200" w:firstLine="640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仿宋_GB2312" w:hAnsi="LinTimes" w:cs="LinTimes"/>
          <w:sz w:val="32"/>
          <w:szCs w:val="32"/>
        </w:rPr>
        <w:t>培育建设国际消费中心城市，带动一批大中城市提升国际化水平，加快消费转型升级，是推动经济高质量发展和新一轮高水平对外开放的重要举措，对于促进形成强大国内市场、增强消费对经济发展的基础性作用、更好满足人民日益增长的美好生活需要具有重要意义。为加快我国国际消费中心城市培育建设，经国务院同意，现提出以下意见：</w:t>
      </w:r>
    </w:p>
    <w:p w:rsidR="002D0E2C" w:rsidRDefault="005B0E0F">
      <w:pPr>
        <w:tabs>
          <w:tab w:val="center" w:pos="4574"/>
        </w:tabs>
        <w:ind w:firstLine="645"/>
        <w:jc w:val="left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黑体" w:hAnsi="LinTimes" w:cs="LinTimes"/>
          <w:sz w:val="32"/>
          <w:szCs w:val="32"/>
        </w:rPr>
        <w:t>一、总体要求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（一）指导思想</w:t>
      </w:r>
      <w:r>
        <w:rPr>
          <w:rFonts w:ascii="LinTimes" w:eastAsia="仿宋_GB2312" w:hAnsi="LinTimes" w:cs="LinTimes"/>
          <w:sz w:val="32"/>
          <w:szCs w:val="32"/>
        </w:rPr>
        <w:t>。</w:t>
      </w:r>
    </w:p>
    <w:p w:rsidR="002D0E2C" w:rsidRDefault="005B0E0F">
      <w:pPr>
        <w:ind w:firstLineChars="200" w:firstLine="640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仿宋_GB2312" w:hAnsi="LinTimes" w:cs="LinTimes"/>
          <w:sz w:val="32"/>
          <w:szCs w:val="32"/>
        </w:rPr>
        <w:t>以习近平新时代中国特色社会主义思想为指导，全面贯彻党的十九大和十九届二中、三中全会精神，按照党中央、国务院决策部署，统筹利用两个市场、两种资源，着力推进供给侧结构性改革。以规划引导、机制创新、标准对接、市场驱动、政策支持为重点，形成规则健全、统一开放、竞争有序、畅通高效的现代市场体系。以扩大消费规模、提升消费品质、引领消费趋势、吸引消费回流、促进消费升级为主要目的，着力提升消费供给水平，完善消费设施，改善消费环境，加快培育建设具有国际水准和全</w:t>
      </w:r>
      <w:r>
        <w:rPr>
          <w:rFonts w:ascii="LinTimes" w:eastAsia="仿宋_GB2312" w:hAnsi="LinTimes" w:cs="LinTimes"/>
          <w:sz w:val="32"/>
          <w:szCs w:val="32"/>
        </w:rPr>
        <w:lastRenderedPageBreak/>
        <w:t>球影响力的消费中心</w:t>
      </w:r>
      <w:r>
        <w:rPr>
          <w:rFonts w:ascii="LinTimes" w:eastAsia="仿宋_GB2312" w:hAnsi="LinTimes" w:cs="LinTimes"/>
          <w:color w:val="000000" w:themeColor="text1"/>
          <w:sz w:val="32"/>
          <w:szCs w:val="32"/>
        </w:rPr>
        <w:t>城市</w:t>
      </w:r>
      <w:r>
        <w:rPr>
          <w:rFonts w:ascii="LinTimes" w:eastAsia="仿宋_GB2312" w:hAnsi="LinTimes" w:cs="LinTimes"/>
          <w:sz w:val="32"/>
          <w:szCs w:val="32"/>
        </w:rPr>
        <w:t>，在中高端消费领域培育新增长点，形成新动能，促进形成强大国内市场。</w:t>
      </w:r>
      <w:r>
        <w:rPr>
          <w:rFonts w:ascii="LinTimes" w:eastAsia="仿宋_GB2312" w:hAnsi="LinTimes" w:cs="LinTimes"/>
          <w:sz w:val="32"/>
          <w:szCs w:val="32"/>
        </w:rPr>
        <w:t xml:space="preserve"> </w:t>
      </w:r>
    </w:p>
    <w:p w:rsidR="002D0E2C" w:rsidRDefault="005B0E0F" w:rsidP="00023DFC">
      <w:pPr>
        <w:ind w:firstLineChars="200" w:firstLine="641"/>
        <w:rPr>
          <w:rFonts w:ascii="LinTimes" w:eastAsia="华文楷体" w:hAnsi="LinTimes" w:cs="LinTimes"/>
          <w:b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（二）基本原则</w:t>
      </w:r>
      <w:r>
        <w:rPr>
          <w:rFonts w:ascii="LinTimes" w:eastAsia="仿宋_GB2312" w:hAnsi="LinTimes" w:cs="LinTimes"/>
          <w:b/>
          <w:sz w:val="32"/>
          <w:szCs w:val="32"/>
        </w:rPr>
        <w:t>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完善设施与优化环境相结合</w:t>
      </w:r>
      <w:r>
        <w:rPr>
          <w:rFonts w:ascii="LinTimes" w:eastAsia="仿宋_GB2312" w:hAnsi="LinTimes" w:cs="LinTimes"/>
          <w:sz w:val="32"/>
          <w:szCs w:val="32"/>
        </w:rPr>
        <w:t>。加强城市消费硬环境建设，完善消费设施布局，提升消费便利度，同时着重优化消费软环境，健全现代城市功能，美化市容市貌，</w:t>
      </w:r>
      <w:r>
        <w:rPr>
          <w:rFonts w:ascii="LinTimes" w:eastAsia="仿宋_GB2312" w:hAnsi="LinTimes" w:cs="LinTimes"/>
          <w:color w:val="000000" w:themeColor="text1"/>
          <w:sz w:val="32"/>
          <w:szCs w:val="32"/>
        </w:rPr>
        <w:t>强化人文品质</w:t>
      </w:r>
      <w:r>
        <w:rPr>
          <w:rFonts w:ascii="LinTimes" w:eastAsia="仿宋_GB2312" w:hAnsi="LinTimes" w:cs="LinTimes"/>
          <w:sz w:val="32"/>
          <w:szCs w:val="32"/>
        </w:rPr>
        <w:t>，营造良好秩序，提升消费舒适度。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补足短板与创新提升相结合。</w:t>
      </w:r>
      <w:r>
        <w:rPr>
          <w:rFonts w:ascii="LinTimes" w:eastAsia="仿宋_GB2312" w:hAnsi="LinTimes" w:cs="LinTimes"/>
          <w:sz w:val="32"/>
          <w:szCs w:val="32"/>
        </w:rPr>
        <w:t>把握我国主要城市在消费领域存在的问题和不足，破除体制机制障碍，补足短板，同时注重创新引领，推动转型升级。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对</w:t>
      </w:r>
      <w:proofErr w:type="gramStart"/>
      <w:r>
        <w:rPr>
          <w:rFonts w:ascii="LinTimes" w:eastAsia="华文楷体" w:hAnsi="LinTimes" w:cs="LinTimes"/>
          <w:b/>
          <w:sz w:val="32"/>
          <w:szCs w:val="32"/>
        </w:rPr>
        <w:t>标国际</w:t>
      </w:r>
      <w:proofErr w:type="gramEnd"/>
      <w:r>
        <w:rPr>
          <w:rFonts w:ascii="LinTimes" w:eastAsia="华文楷体" w:hAnsi="LinTimes" w:cs="LinTimes"/>
          <w:b/>
          <w:sz w:val="32"/>
          <w:szCs w:val="32"/>
        </w:rPr>
        <w:t>与突出特色相结合</w:t>
      </w:r>
      <w:r>
        <w:rPr>
          <w:rFonts w:ascii="LinTimes" w:eastAsia="仿宋_GB2312" w:hAnsi="LinTimes" w:cs="LinTimes"/>
          <w:b/>
          <w:sz w:val="32"/>
          <w:szCs w:val="32"/>
        </w:rPr>
        <w:t>。</w:t>
      </w:r>
      <w:r>
        <w:rPr>
          <w:rFonts w:ascii="LinTimes" w:eastAsia="仿宋_GB2312" w:hAnsi="LinTimes" w:cs="LinTimes"/>
          <w:sz w:val="32"/>
          <w:szCs w:val="32"/>
        </w:rPr>
        <w:t>培育建设应对照高标准，充分借鉴利用国际先进经验，同时要因地制宜，凸显中国元素，形成区域特色。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政府引导与市场运作相结合</w:t>
      </w:r>
      <w:r>
        <w:rPr>
          <w:rFonts w:ascii="LinTimes" w:eastAsia="仿宋_GB2312" w:hAnsi="LinTimes" w:cs="LinTimes"/>
          <w:sz w:val="32"/>
          <w:szCs w:val="32"/>
        </w:rPr>
        <w:t>。充分发挥地方在培育建设工作中的推动作用，强化统筹协调和组织实施，遵循市场机制和现代城市发展规律，充分发挥市场在资源配置中的决定性作用，增强培育建设的内生动力。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整体规划与局部推进相结合</w:t>
      </w:r>
      <w:r>
        <w:rPr>
          <w:rFonts w:ascii="LinTimes" w:eastAsia="仿宋_GB2312" w:hAnsi="LinTimes" w:cs="LinTimes"/>
          <w:sz w:val="32"/>
          <w:szCs w:val="32"/>
        </w:rPr>
        <w:t>。国际消费中心城市培育建设工作要整体规划，同时要集中力量和资源在重点区域、优势领域有所突破并形成标志性成果，避免资源分散、</w:t>
      </w:r>
      <w:r>
        <w:rPr>
          <w:rFonts w:ascii="LinTimes" w:eastAsia="仿宋_GB2312" w:hAnsi="LinTimes" w:cs="LinTimes"/>
          <w:sz w:val="32"/>
          <w:szCs w:val="32"/>
        </w:rPr>
        <w:t>“</w:t>
      </w:r>
      <w:r>
        <w:rPr>
          <w:rFonts w:ascii="LinTimes" w:eastAsia="仿宋_GB2312" w:hAnsi="LinTimes" w:cs="LinTimes"/>
          <w:sz w:val="32"/>
          <w:szCs w:val="32"/>
        </w:rPr>
        <w:t>遍地开花</w:t>
      </w:r>
      <w:r>
        <w:rPr>
          <w:rFonts w:ascii="LinTimes" w:eastAsia="仿宋_GB2312" w:hAnsi="LinTimes" w:cs="LinTimes"/>
          <w:sz w:val="32"/>
          <w:szCs w:val="32"/>
        </w:rPr>
        <w:t>”</w:t>
      </w:r>
      <w:r>
        <w:rPr>
          <w:rFonts w:ascii="LinTimes" w:eastAsia="仿宋_GB2312" w:hAnsi="LinTimes" w:cs="LinTimes"/>
          <w:sz w:val="32"/>
          <w:szCs w:val="32"/>
        </w:rPr>
        <w:t>。</w:t>
      </w:r>
    </w:p>
    <w:p w:rsidR="002D0E2C" w:rsidRDefault="005B0E0F" w:rsidP="00023DFC">
      <w:pPr>
        <w:numPr>
          <w:ilvl w:val="0"/>
          <w:numId w:val="1"/>
        </w:numPr>
        <w:ind w:firstLineChars="200" w:firstLine="641"/>
        <w:rPr>
          <w:rFonts w:ascii="LinTimes" w:eastAsia="华文楷体" w:hAnsi="LinTimes" w:cs="LinTimes"/>
          <w:b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工作目标。</w:t>
      </w:r>
    </w:p>
    <w:p w:rsidR="002D0E2C" w:rsidRDefault="005B0E0F">
      <w:pPr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仿宋_GB2312" w:hAnsi="LinTimes" w:cs="LinTimes"/>
          <w:sz w:val="32"/>
          <w:szCs w:val="32"/>
        </w:rPr>
        <w:t xml:space="preserve">    </w:t>
      </w:r>
      <w:r>
        <w:rPr>
          <w:rFonts w:ascii="LinTimes" w:eastAsia="仿宋_GB2312" w:hAnsi="LinTimes" w:cs="LinTimes"/>
          <w:sz w:val="32"/>
          <w:szCs w:val="32"/>
        </w:rPr>
        <w:t>利用</w:t>
      </w:r>
      <w:r>
        <w:rPr>
          <w:rFonts w:ascii="LinTimes" w:eastAsia="仿宋_GB2312" w:hAnsi="LinTimes" w:cs="LinTimes"/>
          <w:sz w:val="32"/>
          <w:szCs w:val="32"/>
        </w:rPr>
        <w:t>5</w:t>
      </w:r>
      <w:r>
        <w:rPr>
          <w:rFonts w:ascii="LinTimes" w:eastAsia="仿宋_GB2312" w:hAnsi="LinTimes" w:cs="LinTimes"/>
          <w:sz w:val="32"/>
          <w:szCs w:val="32"/>
        </w:rPr>
        <w:t>年左右时间，指导</w:t>
      </w:r>
      <w:r>
        <w:rPr>
          <w:rFonts w:ascii="LinTimes" w:eastAsia="仿宋_GB2312" w:hAnsi="LinTimes" w:cs="LinTimes"/>
          <w:sz w:val="32"/>
        </w:rPr>
        <w:t>基础条件好、消费潜力大、国际化水平较高、地方意愿强的城市开展培育建设，</w:t>
      </w:r>
      <w:r>
        <w:rPr>
          <w:rFonts w:ascii="LinTimes" w:eastAsia="仿宋_GB2312" w:hAnsi="LinTimes" w:cs="LinTimes"/>
          <w:sz w:val="32"/>
          <w:szCs w:val="32"/>
        </w:rPr>
        <w:t>基本形成若干立足</w:t>
      </w:r>
      <w:r>
        <w:rPr>
          <w:rFonts w:ascii="LinTimes" w:eastAsia="仿宋_GB2312" w:hAnsi="LinTimes" w:cs="LinTimes"/>
          <w:sz w:val="32"/>
          <w:szCs w:val="32"/>
        </w:rPr>
        <w:lastRenderedPageBreak/>
        <w:t>国内、辐射周边、面向世界的具有全球影响力、吸引力的综合性国际消费中心城市，带动形成一批专业化、特色化、区域性国际消费中心城市，使其成为扩大引领消费、促进产业结构升级、拉动经济增长的新载体和新引擎。</w:t>
      </w:r>
    </w:p>
    <w:p w:rsidR="002D0E2C" w:rsidRDefault="005B0E0F">
      <w:pPr>
        <w:ind w:firstLineChars="200" w:firstLine="640"/>
        <w:rPr>
          <w:rFonts w:ascii="LinTimes" w:eastAsia="黑体" w:hAnsi="LinTimes" w:cs="LinTimes"/>
          <w:bCs/>
          <w:sz w:val="32"/>
          <w:szCs w:val="32"/>
        </w:rPr>
      </w:pPr>
      <w:r>
        <w:rPr>
          <w:rFonts w:ascii="LinTimes" w:eastAsia="黑体" w:hAnsi="LinTimes" w:cs="LinTimes"/>
          <w:bCs/>
          <w:sz w:val="32"/>
          <w:szCs w:val="32"/>
        </w:rPr>
        <w:t>二、重点任务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（一）聚集优质消费资源</w:t>
      </w:r>
      <w:r>
        <w:rPr>
          <w:rFonts w:ascii="LinTimes" w:eastAsia="仿宋_GB2312" w:hAnsi="LinTimes" w:cs="LinTimes"/>
          <w:sz w:val="32"/>
          <w:szCs w:val="32"/>
        </w:rPr>
        <w:t>。引导企业增加优质商品和服务供给，提升消费供给水平。充分利用中国国际进口博览会等开放平台，多渠道扩大适应国内消费升级需求的特色优质产品进口。发展品牌经济，吸引国内外知名品牌新品首发。着力推动国内销售的国际品牌与发达国家市场在品质价格、上市时间、售后服务等方面同步接轨。加快培育本土品牌，落实消费品工业增品种、提品质、创品牌举措，推进产品内外销</w:t>
      </w:r>
      <w:r>
        <w:rPr>
          <w:rFonts w:ascii="LinTimes" w:eastAsia="仿宋_GB2312" w:hAnsi="LinTimes" w:cs="LinTimes"/>
          <w:sz w:val="32"/>
          <w:szCs w:val="32"/>
        </w:rPr>
        <w:t>“</w:t>
      </w:r>
      <w:r>
        <w:rPr>
          <w:rFonts w:ascii="LinTimes" w:eastAsia="仿宋_GB2312" w:hAnsi="LinTimes" w:cs="LinTimes"/>
          <w:sz w:val="32"/>
          <w:szCs w:val="32"/>
        </w:rPr>
        <w:t>同线同标同质</w:t>
      </w:r>
      <w:r>
        <w:rPr>
          <w:rFonts w:ascii="LinTimes" w:eastAsia="仿宋_GB2312" w:hAnsi="LinTimes" w:cs="LinTimes"/>
          <w:sz w:val="32"/>
          <w:szCs w:val="32"/>
        </w:rPr>
        <w:t>”</w:t>
      </w:r>
      <w:r>
        <w:rPr>
          <w:rFonts w:ascii="LinTimes" w:eastAsia="仿宋_GB2312" w:hAnsi="LinTimes" w:cs="LinTimes"/>
          <w:sz w:val="32"/>
          <w:szCs w:val="32"/>
        </w:rPr>
        <w:t>，提升产品品质，大力推动中华老字号创新发展。加快培育和发展健康、养老、托育、家政、教育、培训、文化、体育、旅游、美容、养生、中医药等服务消费产业，进一步提升生活服务品质，形成一批带动性强、示范效果好、服务品质优的服务企业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（二）建设新型消费商圈</w:t>
      </w:r>
      <w:r>
        <w:rPr>
          <w:rFonts w:ascii="LinTimes" w:eastAsia="仿宋_GB2312" w:hAnsi="LinTimes" w:cs="LinTimes"/>
          <w:sz w:val="32"/>
          <w:szCs w:val="32"/>
        </w:rPr>
        <w:t>。合理规划打造一批具有较强国际影响力的新型消费商圈，参照国际先进经验和标准，推进智慧商圈建设，培育新型消费发展载体。加快商业街提档升级，重点开展商业步行街改造提升工作，推动设施改造、品牌集聚、业态互补、错位发展，将中国元素、区域文化</w:t>
      </w:r>
      <w:proofErr w:type="gramStart"/>
      <w:r>
        <w:rPr>
          <w:rFonts w:ascii="LinTimes" w:eastAsia="仿宋_GB2312" w:hAnsi="LinTimes" w:cs="LinTimes"/>
          <w:sz w:val="32"/>
          <w:szCs w:val="32"/>
        </w:rPr>
        <w:t>融入商</w:t>
      </w:r>
      <w:proofErr w:type="gramEnd"/>
      <w:r>
        <w:rPr>
          <w:rFonts w:ascii="LinTimes" w:eastAsia="仿宋_GB2312" w:hAnsi="LinTimes" w:cs="LinTimes"/>
          <w:sz w:val="32"/>
          <w:szCs w:val="32"/>
        </w:rPr>
        <w:t>圈建设，彰</w:t>
      </w:r>
      <w:proofErr w:type="gramStart"/>
      <w:r>
        <w:rPr>
          <w:rFonts w:ascii="LinTimes" w:eastAsia="仿宋_GB2312" w:hAnsi="LinTimes" w:cs="LinTimes"/>
          <w:sz w:val="32"/>
          <w:szCs w:val="32"/>
        </w:rPr>
        <w:t>显中国</w:t>
      </w:r>
      <w:proofErr w:type="gramEnd"/>
      <w:r>
        <w:rPr>
          <w:rFonts w:ascii="LinTimes" w:eastAsia="仿宋_GB2312" w:hAnsi="LinTimes" w:cs="LinTimes"/>
          <w:sz w:val="32"/>
          <w:szCs w:val="32"/>
        </w:rPr>
        <w:t>特色。鼓励引进国内外品牌首店、旗舰店和体验店等业态。举办形式多样的促销活动，实现名品名店名街联动。拓展新型消费产</w:t>
      </w:r>
      <w:r>
        <w:rPr>
          <w:rFonts w:ascii="LinTimes" w:eastAsia="仿宋_GB2312" w:hAnsi="LinTimes" w:cs="LinTimes"/>
          <w:sz w:val="32"/>
          <w:szCs w:val="32"/>
        </w:rPr>
        <w:lastRenderedPageBreak/>
        <w:t>业和各类生活型服务业发展空间，强化</w:t>
      </w:r>
      <w:r>
        <w:rPr>
          <w:rFonts w:ascii="LinTimes" w:eastAsia="仿宋_GB2312" w:hAnsi="LinTimes" w:cs="LinTimes"/>
          <w:sz w:val="32"/>
          <w:szCs w:val="32"/>
        </w:rPr>
        <w:t>“</w:t>
      </w:r>
      <w:r>
        <w:rPr>
          <w:rFonts w:ascii="LinTimes" w:eastAsia="仿宋_GB2312" w:hAnsi="LinTimes" w:cs="LinTimes"/>
          <w:sz w:val="32"/>
          <w:szCs w:val="32"/>
        </w:rPr>
        <w:t>买全国、卖全国，买全球、卖全球</w:t>
      </w:r>
      <w:r>
        <w:rPr>
          <w:rFonts w:ascii="LinTimes" w:eastAsia="仿宋_GB2312" w:hAnsi="LinTimes" w:cs="LinTimes"/>
          <w:sz w:val="32"/>
          <w:szCs w:val="32"/>
        </w:rPr>
        <w:t>”</w:t>
      </w:r>
      <w:r>
        <w:rPr>
          <w:rFonts w:ascii="LinTimes" w:eastAsia="仿宋_GB2312" w:hAnsi="LinTimes" w:cs="LinTimes"/>
          <w:sz w:val="32"/>
          <w:szCs w:val="32"/>
        </w:rPr>
        <w:t>的商业贸易功能，发挥消费集聚示范作用。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（三）推动消费融合创新</w:t>
      </w:r>
      <w:r>
        <w:rPr>
          <w:rFonts w:ascii="LinTimes" w:eastAsia="仿宋_GB2312" w:hAnsi="LinTimes" w:cs="LinTimes"/>
          <w:sz w:val="32"/>
          <w:szCs w:val="32"/>
        </w:rPr>
        <w:t>。鼓励企业充分运用现代信息技术，发展新业态，探索新模式，推动实体商业转型升级。</w:t>
      </w:r>
      <w:proofErr w:type="gramStart"/>
      <w:r>
        <w:rPr>
          <w:rFonts w:ascii="LinTimes" w:eastAsia="仿宋_GB2312" w:hAnsi="LinTimes" w:cs="LinTimes"/>
          <w:sz w:val="32"/>
          <w:szCs w:val="32"/>
        </w:rPr>
        <w:t>促进线</w:t>
      </w:r>
      <w:proofErr w:type="gramEnd"/>
      <w:r>
        <w:rPr>
          <w:rFonts w:ascii="LinTimes" w:eastAsia="仿宋_GB2312" w:hAnsi="LinTimes" w:cs="LinTimes"/>
          <w:sz w:val="32"/>
          <w:szCs w:val="32"/>
        </w:rPr>
        <w:t>上线下深入融合、商品和服务消费互动融合、流通和生产对接融合，打造一批商旅文体联动示范项目，推动商旅文体、游购娱融合发展。推动商品交易市场优化升级，培育现代供应</w:t>
      </w:r>
      <w:proofErr w:type="gramStart"/>
      <w:r>
        <w:rPr>
          <w:rFonts w:ascii="LinTimes" w:eastAsia="仿宋_GB2312" w:hAnsi="LinTimes" w:cs="LinTimes"/>
          <w:sz w:val="32"/>
          <w:szCs w:val="32"/>
        </w:rPr>
        <w:t>链综合</w:t>
      </w:r>
      <w:proofErr w:type="gramEnd"/>
      <w:r>
        <w:rPr>
          <w:rFonts w:ascii="LinTimes" w:eastAsia="仿宋_GB2312" w:hAnsi="LinTimes" w:cs="LinTimes"/>
          <w:sz w:val="32"/>
          <w:szCs w:val="32"/>
        </w:rPr>
        <w:t>服务企业。促进传统百货店、购物中心、大型体育场馆、闲置工业厂区向消费体验中心、休闲娱乐中心、文化时尚中心、健康管理和维护中心、养生养老中心、产品和服务设计定制中心等新型发展载体转变，拓宽消费功能，丰富消费内涵，发挥国际消费中心城市在消费领域的创新引领作用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（四）打造消费时尚风向标</w:t>
      </w:r>
      <w:r>
        <w:rPr>
          <w:rFonts w:ascii="LinTimes" w:eastAsia="仿宋_GB2312" w:hAnsi="LinTimes" w:cs="LinTimes"/>
          <w:sz w:val="32"/>
          <w:szCs w:val="32"/>
        </w:rPr>
        <w:t>。把握国际消费新潮流，培育发展一批</w:t>
      </w:r>
      <w:r>
        <w:rPr>
          <w:rFonts w:ascii="LinTimes" w:eastAsia="仿宋_GB2312" w:hAnsi="LinTimes" w:cs="LinTimes"/>
          <w:sz w:val="32"/>
          <w:szCs w:val="32"/>
        </w:rPr>
        <w:t>“</w:t>
      </w:r>
      <w:r>
        <w:rPr>
          <w:rFonts w:ascii="LinTimes" w:eastAsia="仿宋_GB2312" w:hAnsi="LinTimes" w:cs="LinTimes"/>
          <w:sz w:val="32"/>
          <w:szCs w:val="32"/>
        </w:rPr>
        <w:t>博览会</w:t>
      </w:r>
      <w:r>
        <w:rPr>
          <w:rFonts w:ascii="LinTimes" w:eastAsia="仿宋_GB2312" w:hAnsi="LinTimes" w:cs="LinTimes"/>
          <w:sz w:val="32"/>
          <w:szCs w:val="32"/>
        </w:rPr>
        <w:t>”“</w:t>
      </w:r>
      <w:r>
        <w:rPr>
          <w:rFonts w:ascii="LinTimes" w:eastAsia="仿宋_GB2312" w:hAnsi="LinTimes" w:cs="LinTimes"/>
          <w:sz w:val="32"/>
          <w:szCs w:val="32"/>
        </w:rPr>
        <w:t>购物节</w:t>
      </w:r>
      <w:r>
        <w:rPr>
          <w:rFonts w:ascii="LinTimes" w:eastAsia="仿宋_GB2312" w:hAnsi="LinTimes" w:cs="LinTimes"/>
          <w:sz w:val="32"/>
          <w:szCs w:val="32"/>
        </w:rPr>
        <w:t>”“</w:t>
      </w:r>
      <w:r>
        <w:rPr>
          <w:rFonts w:ascii="LinTimes" w:eastAsia="仿宋_GB2312" w:hAnsi="LinTimes" w:cs="LinTimes"/>
          <w:sz w:val="32"/>
          <w:szCs w:val="32"/>
        </w:rPr>
        <w:t>时尚周</w:t>
      </w:r>
      <w:r>
        <w:rPr>
          <w:rFonts w:ascii="LinTimes" w:eastAsia="仿宋_GB2312" w:hAnsi="LinTimes" w:cs="LinTimes"/>
          <w:sz w:val="32"/>
          <w:szCs w:val="32"/>
        </w:rPr>
        <w:t>”“</w:t>
      </w:r>
      <w:r>
        <w:rPr>
          <w:rFonts w:ascii="LinTimes" w:eastAsia="仿宋_GB2312" w:hAnsi="LinTimes" w:cs="LinTimes"/>
          <w:sz w:val="32"/>
          <w:szCs w:val="32"/>
        </w:rPr>
        <w:t>消费展</w:t>
      </w:r>
      <w:r>
        <w:rPr>
          <w:rFonts w:ascii="LinTimes" w:eastAsia="仿宋_GB2312" w:hAnsi="LinTimes" w:cs="LinTimes"/>
          <w:sz w:val="32"/>
          <w:szCs w:val="32"/>
        </w:rPr>
        <w:t>”</w:t>
      </w:r>
      <w:r>
        <w:rPr>
          <w:rFonts w:ascii="LinTimes" w:eastAsia="仿宋_GB2312" w:hAnsi="LinTimes" w:cs="LinTimes"/>
          <w:sz w:val="32"/>
          <w:szCs w:val="32"/>
        </w:rPr>
        <w:t>等国际产品和服务消费新平台，打造适合不同群体的时尚消费地标，汇聚提升城市时尚消费的影响力和辐射力。整合城市消费资源，鼓励国内外重要消费品牌发布新产品、新服务，及时发布和更新旅游、娱乐、文化、体育等消费信息。促进时尚、创意等文化产业新业态发展，培育一批有国际影响力的网站、期刊、电视、广播等时尚传媒品牌，打造国际时尚消费的风向标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（五）加强消费环境建设。</w:t>
      </w:r>
      <w:r>
        <w:rPr>
          <w:rFonts w:ascii="LinTimes" w:eastAsia="仿宋_GB2312" w:hAnsi="LinTimes" w:cs="LinTimes"/>
          <w:sz w:val="32"/>
          <w:szCs w:val="32"/>
        </w:rPr>
        <w:t>开展城市环境美化建设，优化生态宜居环境，提升服务质量与水平，规范服务场所多语种标识，提升城市国际化水平。完善便捷高效的立体交通网络，畅通国内</w:t>
      </w:r>
      <w:r>
        <w:rPr>
          <w:rFonts w:ascii="LinTimes" w:eastAsia="仿宋_GB2312" w:hAnsi="LinTimes" w:cs="LinTimes"/>
          <w:sz w:val="32"/>
          <w:szCs w:val="32"/>
        </w:rPr>
        <w:lastRenderedPageBreak/>
        <w:t>外旅客抵离通道，优化城市商业设施布局，促进大型商业设施与市政交通互联互通，建立健全高效物流配送体系，新建和改造社区便民服务中心和街区生活服务集聚中心，促进便利</w:t>
      </w:r>
      <w:proofErr w:type="gramStart"/>
      <w:r>
        <w:rPr>
          <w:rFonts w:ascii="LinTimes" w:eastAsia="仿宋_GB2312" w:hAnsi="LinTimes" w:cs="LinTimes"/>
          <w:sz w:val="32"/>
          <w:szCs w:val="32"/>
        </w:rPr>
        <w:t>店品牌</w:t>
      </w:r>
      <w:proofErr w:type="gramEnd"/>
      <w:r>
        <w:rPr>
          <w:rFonts w:ascii="LinTimes" w:eastAsia="仿宋_GB2312" w:hAnsi="LinTimes" w:cs="LinTimes"/>
          <w:sz w:val="32"/>
          <w:szCs w:val="32"/>
        </w:rPr>
        <w:t>化连锁化发展，提升消费便利度。健全市场监管和消费维权体系，畅通消费投诉举报渠道，加强商品质量、食品安全、市场秩序综合监管和治理，打击侵权假冒行为，全面推进诚信体系建设，建立健全重要产品追溯体系，营造安全放心的消费市场环境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（六）完善消费促进机制</w:t>
      </w:r>
      <w:r>
        <w:rPr>
          <w:rFonts w:ascii="LinTimes" w:eastAsia="仿宋_GB2312" w:hAnsi="LinTimes" w:cs="LinTimes"/>
          <w:sz w:val="32"/>
          <w:szCs w:val="32"/>
        </w:rPr>
        <w:t>。制定完善促进消费相关政策。完善免税店政策，引导免税店、离境退税商店提高国产优质产品经营比重，鼓励境外旅客购买国产品牌。稳妥推进健康医疗、教育文化、休闲娱乐等消费领域和相关服务业对外开放，提升金融服务在促进消费方面的支持作用。借鉴国际通行做法，提升通关和签证便利化，扩大过境免签的城市范围、延长过境停留时间，优化境外旅客购物离境退税服务，促进国际消费便利化。完善城市街区商圈、社区便民服务中心、闲置厂房改造为商业综合体等用地保障，积极探索出台有利于降低商业成本、促进消费的政策措施，提升城市消费竞争力。</w:t>
      </w:r>
    </w:p>
    <w:p w:rsidR="002D0E2C" w:rsidRDefault="005B0E0F">
      <w:pPr>
        <w:ind w:firstLineChars="196" w:firstLine="627"/>
        <w:rPr>
          <w:rFonts w:ascii="LinTimes" w:eastAsia="黑体" w:hAnsi="LinTimes" w:cs="LinTimes"/>
          <w:bCs/>
          <w:sz w:val="32"/>
          <w:szCs w:val="32"/>
        </w:rPr>
      </w:pPr>
      <w:r>
        <w:rPr>
          <w:rFonts w:ascii="LinTimes" w:eastAsia="黑体" w:hAnsi="LinTimes" w:cs="LinTimes"/>
          <w:bCs/>
          <w:sz w:val="32"/>
          <w:szCs w:val="32"/>
        </w:rPr>
        <w:t>三、组织实施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（一）加强组织领导</w:t>
      </w:r>
      <w:r>
        <w:rPr>
          <w:rFonts w:ascii="LinTimes" w:eastAsia="仿宋_GB2312" w:hAnsi="LinTimes" w:cs="LinTimes"/>
          <w:sz w:val="32"/>
          <w:szCs w:val="32"/>
        </w:rPr>
        <w:t>。发挥完善促进消费体制机制部际联席会议作用，商务部会同相关部门负责统筹指导，协调推进，制定完善国际消费中心城市培育建设工作方案和指标体系。具备条件的省（区、市）人民政府要结合实际情况，综合考虑城市</w:t>
      </w:r>
      <w:r>
        <w:rPr>
          <w:rFonts w:ascii="LinTimes" w:eastAsia="仿宋_GB2312" w:hAnsi="LinTimes" w:cs="LinTimes"/>
          <w:color w:val="000000" w:themeColor="text1"/>
          <w:kern w:val="0"/>
          <w:sz w:val="32"/>
          <w:szCs w:val="32"/>
        </w:rPr>
        <w:t>基础条件、消费潜力、国际化水平、工作举措等</w:t>
      </w:r>
      <w:r>
        <w:rPr>
          <w:rFonts w:ascii="LinTimes" w:eastAsia="仿宋_GB2312" w:hAnsi="LinTimes" w:cs="LinTimes"/>
          <w:sz w:val="32"/>
          <w:szCs w:val="32"/>
        </w:rPr>
        <w:t>因素，指导相关城市制</w:t>
      </w:r>
      <w:r>
        <w:rPr>
          <w:rFonts w:ascii="LinTimes" w:eastAsia="仿宋_GB2312" w:hAnsi="LinTimes" w:cs="LinTimes"/>
          <w:sz w:val="32"/>
          <w:szCs w:val="32"/>
        </w:rPr>
        <w:lastRenderedPageBreak/>
        <w:t>订培育建设实施方案，做好培育建设工作。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（二）完善配套措施</w:t>
      </w:r>
      <w:r>
        <w:rPr>
          <w:rFonts w:ascii="LinTimes" w:eastAsia="仿宋_GB2312" w:hAnsi="LinTimes" w:cs="LinTimes"/>
          <w:sz w:val="32"/>
          <w:szCs w:val="32"/>
        </w:rPr>
        <w:t>。培育建设试点城市要结合自身发展规划和目标定位，依据实施方案，完善相关软硬件配套措施。提升城市基础设施水平，完善公共交通、网络通信、停车场、公共厕所、卫生及安全等公共设施。优化消费软环境，提升市民文明素养，改善语言环境，探索建立符合国际惯例的快捷消费纠纷解决机制，建立完善综合咨询、智力支持等服务机制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（三）建立沟通机制。</w:t>
      </w:r>
      <w:r>
        <w:rPr>
          <w:rFonts w:ascii="LinTimes" w:eastAsia="仿宋_GB2312" w:hAnsi="LinTimes" w:cs="LinTimes"/>
          <w:bCs/>
          <w:sz w:val="32"/>
          <w:szCs w:val="32"/>
        </w:rPr>
        <w:t>商务部会同有关部门</w:t>
      </w:r>
      <w:r>
        <w:rPr>
          <w:rFonts w:ascii="LinTimes" w:eastAsia="仿宋_GB2312" w:hAnsi="LinTimes" w:cs="LinTimes"/>
          <w:sz w:val="32"/>
          <w:szCs w:val="32"/>
        </w:rPr>
        <w:t>建立定期沟通机制，加强培育建设试点城市间交流以及相关部门间沟通。相关部门要与培育建设试点城市保持密切联系，跟踪进展情况，及时发现和解决培育建设过程中的问题。适时组织开展国际交流合作，充分借鉴国际成功经验和先进做法。</w:t>
      </w:r>
    </w:p>
    <w:p w:rsidR="002D0E2C" w:rsidRDefault="005B0E0F" w:rsidP="00023DFC">
      <w:pPr>
        <w:ind w:firstLineChars="200" w:firstLine="641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华文楷体" w:hAnsi="LinTimes" w:cs="LinTimes"/>
          <w:b/>
          <w:sz w:val="32"/>
          <w:szCs w:val="32"/>
        </w:rPr>
        <w:t>（四）强化宣传引导</w:t>
      </w:r>
      <w:r>
        <w:rPr>
          <w:rFonts w:ascii="LinTimes" w:eastAsia="仿宋_GB2312" w:hAnsi="LinTimes" w:cs="LinTimes"/>
          <w:sz w:val="32"/>
          <w:szCs w:val="32"/>
        </w:rPr>
        <w:t>。培育建设试点城市要高度重视宣传引导，将培育建设工作纳入当地城市整体宣传计划，通过互联网等多种方式加大培育建设工作进展和成效的宣传，扩大影响力，形成公众广泛参与、社会高度重视的良好氛围。</w:t>
      </w:r>
    </w:p>
    <w:p w:rsidR="002D0E2C" w:rsidRDefault="002D0E2C">
      <w:pPr>
        <w:ind w:firstLineChars="200" w:firstLine="640"/>
        <w:rPr>
          <w:rFonts w:ascii="LinTimes" w:eastAsia="仿宋_GB2312" w:hAnsi="LinTimes" w:cs="LinTimes"/>
          <w:sz w:val="32"/>
          <w:szCs w:val="32"/>
        </w:rPr>
      </w:pPr>
    </w:p>
    <w:p w:rsidR="002D0E2C" w:rsidRDefault="005B0E0F">
      <w:pPr>
        <w:jc w:val="right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仿宋_GB2312" w:hAnsi="LinTimes" w:cs="LinTimes"/>
          <w:sz w:val="32"/>
          <w:szCs w:val="32"/>
        </w:rPr>
        <w:t>商务部</w:t>
      </w:r>
      <w:r>
        <w:rPr>
          <w:rFonts w:ascii="LinTimes" w:eastAsia="仿宋_GB2312" w:hAnsi="LinTimes" w:cs="LinTimes"/>
          <w:sz w:val="32"/>
          <w:szCs w:val="32"/>
        </w:rPr>
        <w:t xml:space="preserve">  </w:t>
      </w:r>
      <w:r>
        <w:rPr>
          <w:rFonts w:ascii="LinTimes" w:eastAsia="仿宋_GB2312" w:hAnsi="LinTimes" w:cs="LinTimes"/>
          <w:sz w:val="32"/>
          <w:szCs w:val="32"/>
        </w:rPr>
        <w:t>外交部</w:t>
      </w:r>
      <w:r>
        <w:rPr>
          <w:rFonts w:ascii="LinTimes" w:eastAsia="仿宋_GB2312" w:hAnsi="LinTimes" w:cs="LinTimes"/>
          <w:sz w:val="32"/>
          <w:szCs w:val="32"/>
        </w:rPr>
        <w:t xml:space="preserve">  </w:t>
      </w:r>
      <w:r>
        <w:rPr>
          <w:rFonts w:ascii="LinTimes" w:eastAsia="仿宋_GB2312" w:hAnsi="LinTimes" w:cs="LinTimes"/>
          <w:sz w:val="32"/>
          <w:szCs w:val="32"/>
        </w:rPr>
        <w:t>发展改革委</w:t>
      </w:r>
      <w:r>
        <w:rPr>
          <w:rFonts w:ascii="LinTimes" w:eastAsia="仿宋_GB2312" w:hAnsi="LinTimes" w:cs="LinTimes"/>
          <w:sz w:val="32"/>
          <w:szCs w:val="32"/>
        </w:rPr>
        <w:t xml:space="preserve">  </w:t>
      </w:r>
      <w:r>
        <w:rPr>
          <w:rFonts w:ascii="LinTimes" w:eastAsia="仿宋_GB2312" w:hAnsi="LinTimes" w:cs="LinTimes"/>
          <w:sz w:val="32"/>
          <w:szCs w:val="32"/>
        </w:rPr>
        <w:t>工业和信息化部</w:t>
      </w:r>
    </w:p>
    <w:p w:rsidR="002D0E2C" w:rsidRDefault="005B0E0F">
      <w:pPr>
        <w:jc w:val="right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仿宋_GB2312" w:hAnsi="LinTimes" w:cs="LinTimes"/>
          <w:sz w:val="32"/>
          <w:szCs w:val="32"/>
        </w:rPr>
        <w:t>财政部</w:t>
      </w:r>
      <w:r>
        <w:rPr>
          <w:rFonts w:ascii="LinTimes" w:eastAsia="仿宋_GB2312" w:hAnsi="LinTimes" w:cs="LinTimes"/>
          <w:sz w:val="32"/>
          <w:szCs w:val="32"/>
        </w:rPr>
        <w:t xml:space="preserve">  </w:t>
      </w:r>
      <w:r>
        <w:rPr>
          <w:rFonts w:ascii="LinTimes" w:eastAsia="仿宋_GB2312" w:hAnsi="LinTimes" w:cs="LinTimes"/>
          <w:sz w:val="32"/>
          <w:szCs w:val="32"/>
        </w:rPr>
        <w:t>住房城乡建设部</w:t>
      </w:r>
      <w:r>
        <w:rPr>
          <w:rFonts w:ascii="LinTimes" w:eastAsia="仿宋_GB2312" w:hAnsi="LinTimes" w:cs="LinTimes"/>
          <w:sz w:val="32"/>
          <w:szCs w:val="32"/>
        </w:rPr>
        <w:t xml:space="preserve">  </w:t>
      </w:r>
      <w:r>
        <w:rPr>
          <w:rFonts w:ascii="LinTimes" w:eastAsia="仿宋_GB2312" w:hAnsi="LinTimes" w:cs="LinTimes"/>
          <w:sz w:val="32"/>
          <w:szCs w:val="32"/>
        </w:rPr>
        <w:t>交通运输部</w:t>
      </w:r>
      <w:r>
        <w:rPr>
          <w:rFonts w:ascii="LinTimes" w:eastAsia="仿宋_GB2312" w:hAnsi="LinTimes" w:cs="LinTimes"/>
          <w:sz w:val="32"/>
          <w:szCs w:val="32"/>
        </w:rPr>
        <w:t xml:space="preserve">  </w:t>
      </w:r>
      <w:r>
        <w:rPr>
          <w:rFonts w:ascii="LinTimes" w:eastAsia="仿宋_GB2312" w:hAnsi="LinTimes" w:cs="LinTimes"/>
          <w:sz w:val="32"/>
          <w:szCs w:val="32"/>
        </w:rPr>
        <w:t>文化和旅游部</w:t>
      </w:r>
    </w:p>
    <w:p w:rsidR="002D0E2C" w:rsidRDefault="005B0E0F">
      <w:pPr>
        <w:jc w:val="right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仿宋_GB2312" w:hAnsi="LinTimes" w:cs="LinTimes"/>
          <w:sz w:val="32"/>
          <w:szCs w:val="32"/>
        </w:rPr>
        <w:t>卫生健康委</w:t>
      </w:r>
      <w:r>
        <w:rPr>
          <w:rFonts w:ascii="LinTimes" w:eastAsia="仿宋_GB2312" w:hAnsi="LinTimes" w:cs="LinTimes"/>
          <w:sz w:val="32"/>
          <w:szCs w:val="32"/>
        </w:rPr>
        <w:t xml:space="preserve">  </w:t>
      </w:r>
      <w:r>
        <w:rPr>
          <w:rFonts w:ascii="LinTimes" w:eastAsia="仿宋_GB2312" w:hAnsi="LinTimes" w:cs="LinTimes"/>
          <w:sz w:val="32"/>
          <w:szCs w:val="32"/>
        </w:rPr>
        <w:t>人民银行</w:t>
      </w:r>
      <w:r>
        <w:rPr>
          <w:rFonts w:ascii="LinTimes" w:eastAsia="仿宋_GB2312" w:hAnsi="LinTimes" w:cs="LinTimes"/>
          <w:sz w:val="32"/>
          <w:szCs w:val="32"/>
        </w:rPr>
        <w:t xml:space="preserve">  </w:t>
      </w:r>
      <w:r>
        <w:rPr>
          <w:rFonts w:ascii="LinTimes" w:eastAsia="仿宋_GB2312" w:hAnsi="LinTimes" w:cs="LinTimes"/>
          <w:sz w:val="32"/>
          <w:szCs w:val="32"/>
        </w:rPr>
        <w:t>海关总署</w:t>
      </w:r>
      <w:r>
        <w:rPr>
          <w:rFonts w:ascii="LinTimes" w:eastAsia="仿宋_GB2312" w:hAnsi="LinTimes" w:cs="LinTimes"/>
          <w:sz w:val="32"/>
          <w:szCs w:val="32"/>
        </w:rPr>
        <w:t xml:space="preserve">  </w:t>
      </w:r>
      <w:r>
        <w:rPr>
          <w:rFonts w:ascii="LinTimes" w:eastAsia="仿宋_GB2312" w:hAnsi="LinTimes" w:cs="LinTimes"/>
          <w:sz w:val="32"/>
          <w:szCs w:val="32"/>
        </w:rPr>
        <w:t>税务总局</w:t>
      </w:r>
    </w:p>
    <w:p w:rsidR="002D0E2C" w:rsidRDefault="005B0E0F">
      <w:pPr>
        <w:jc w:val="right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仿宋_GB2312" w:hAnsi="LinTimes" w:cs="LinTimes"/>
          <w:sz w:val="32"/>
          <w:szCs w:val="32"/>
        </w:rPr>
        <w:t>市场监管总局</w:t>
      </w:r>
      <w:r>
        <w:rPr>
          <w:rFonts w:ascii="LinTimes" w:eastAsia="仿宋_GB2312" w:hAnsi="LinTimes" w:cs="LinTimes"/>
          <w:sz w:val="32"/>
          <w:szCs w:val="32"/>
        </w:rPr>
        <w:t xml:space="preserve">  </w:t>
      </w:r>
      <w:r>
        <w:rPr>
          <w:rFonts w:ascii="LinTimes" w:eastAsia="仿宋_GB2312" w:hAnsi="LinTimes" w:cs="LinTimes"/>
          <w:sz w:val="32"/>
          <w:szCs w:val="32"/>
        </w:rPr>
        <w:t>体育总局</w:t>
      </w:r>
    </w:p>
    <w:p w:rsidR="002D0E2C" w:rsidRDefault="005B0E0F">
      <w:pPr>
        <w:wordWrap w:val="0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仿宋_GB2312" w:hAnsi="LinTimes" w:cs="LinTimes"/>
          <w:sz w:val="32"/>
          <w:szCs w:val="32"/>
        </w:rPr>
        <w:t xml:space="preserve">                                   </w:t>
      </w:r>
    </w:p>
    <w:p w:rsidR="002D0E2C" w:rsidRDefault="005B0E0F">
      <w:pPr>
        <w:wordWrap w:val="0"/>
        <w:rPr>
          <w:rFonts w:ascii="LinTimes" w:eastAsia="仿宋_GB2312" w:hAnsi="LinTimes" w:cs="LinTimes"/>
          <w:sz w:val="32"/>
          <w:szCs w:val="32"/>
        </w:rPr>
      </w:pPr>
      <w:r>
        <w:rPr>
          <w:rFonts w:ascii="LinTimes" w:eastAsia="仿宋_GB2312" w:hAnsi="LinTimes" w:cs="LinTimes"/>
          <w:sz w:val="32"/>
          <w:szCs w:val="32"/>
        </w:rPr>
        <w:t xml:space="preserve">                                    2019</w:t>
      </w:r>
      <w:r>
        <w:rPr>
          <w:rFonts w:ascii="LinTimes" w:eastAsia="仿宋_GB2312" w:hAnsi="LinTimes" w:cs="LinTimes"/>
          <w:sz w:val="32"/>
          <w:szCs w:val="32"/>
        </w:rPr>
        <w:t>年</w:t>
      </w:r>
      <w:r>
        <w:rPr>
          <w:rFonts w:ascii="LinTimes" w:eastAsia="仿宋_GB2312" w:hAnsi="LinTimes" w:cs="LinTimes"/>
          <w:sz w:val="32"/>
          <w:szCs w:val="32"/>
        </w:rPr>
        <w:t>10</w:t>
      </w:r>
      <w:r>
        <w:rPr>
          <w:rFonts w:ascii="LinTimes" w:eastAsia="仿宋_GB2312" w:hAnsi="LinTimes" w:cs="LinTimes"/>
          <w:sz w:val="32"/>
          <w:szCs w:val="32"/>
        </w:rPr>
        <w:t>月</w:t>
      </w:r>
      <w:r>
        <w:rPr>
          <w:rFonts w:ascii="LinTimes" w:eastAsia="仿宋_GB2312" w:hAnsi="LinTimes" w:cs="LinTimes"/>
          <w:sz w:val="32"/>
          <w:szCs w:val="32"/>
        </w:rPr>
        <w:t>14</w:t>
      </w:r>
      <w:r>
        <w:rPr>
          <w:rFonts w:ascii="LinTimes" w:eastAsia="仿宋_GB2312" w:hAnsi="LinTimes" w:cs="LinTimes"/>
          <w:sz w:val="32"/>
          <w:szCs w:val="32"/>
        </w:rPr>
        <w:t>日</w:t>
      </w:r>
    </w:p>
    <w:sectPr w:rsidR="002D0E2C">
      <w:footerReference w:type="default" r:id="rId9"/>
      <w:pgSz w:w="11906" w:h="16838"/>
      <w:pgMar w:top="964" w:right="1531" w:bottom="96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1C39" w:rsidRDefault="00FF1C39">
      <w:r>
        <w:separator/>
      </w:r>
    </w:p>
  </w:endnote>
  <w:endnote w:type="continuationSeparator" w:id="0">
    <w:p w:rsidR="00FF1C39" w:rsidRDefault="00FF1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nTimes">
    <w:altName w:val="Arial Unicode MS"/>
    <w:charset w:val="00"/>
    <w:family w:val="auto"/>
    <w:pitch w:val="default"/>
    <w:sig w:usb0="00000000" w:usb1="80000000" w:usb2="00000008" w:usb3="00000000" w:csb0="400001FF" w:csb1="FFFF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楷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3391017"/>
    </w:sdtPr>
    <w:sdtEndPr/>
    <w:sdtContent>
      <w:p w:rsidR="002D0E2C" w:rsidRDefault="005B0E0F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4697" w:rsidRPr="00BF4697">
          <w:rPr>
            <w:noProof/>
            <w:lang w:val="zh-CN"/>
          </w:rPr>
          <w:t>6</w:t>
        </w:r>
        <w:r>
          <w:fldChar w:fldCharType="end"/>
        </w:r>
      </w:p>
    </w:sdtContent>
  </w:sdt>
  <w:p w:rsidR="002D0E2C" w:rsidRDefault="002D0E2C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1C39" w:rsidRDefault="00FF1C39">
      <w:r>
        <w:separator/>
      </w:r>
    </w:p>
  </w:footnote>
  <w:footnote w:type="continuationSeparator" w:id="0">
    <w:p w:rsidR="00FF1C39" w:rsidRDefault="00FF1C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DB2302D"/>
    <w:multiLevelType w:val="singleLevel"/>
    <w:tmpl w:val="DDB2302D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张豫军">
    <w15:presenceInfo w15:providerId="None" w15:userId="张豫军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94C"/>
    <w:rsid w:val="A0FB7A27"/>
    <w:rsid w:val="BAB56DE2"/>
    <w:rsid w:val="BADF00C0"/>
    <w:rsid w:val="BF7AEA6A"/>
    <w:rsid w:val="DD9F7559"/>
    <w:rsid w:val="DFCF3506"/>
    <w:rsid w:val="DFE4D892"/>
    <w:rsid w:val="EADFC4B8"/>
    <w:rsid w:val="EEFEB62F"/>
    <w:rsid w:val="EF7E9DD3"/>
    <w:rsid w:val="EFDF40CF"/>
    <w:rsid w:val="EFFE197F"/>
    <w:rsid w:val="F6CC89C6"/>
    <w:rsid w:val="FBE7445B"/>
    <w:rsid w:val="FCE1DC08"/>
    <w:rsid w:val="FDB71EE6"/>
    <w:rsid w:val="FE793A53"/>
    <w:rsid w:val="FEFE5D65"/>
    <w:rsid w:val="FFDF53AD"/>
    <w:rsid w:val="FFF6F244"/>
    <w:rsid w:val="000113B9"/>
    <w:rsid w:val="000114AF"/>
    <w:rsid w:val="000207BF"/>
    <w:rsid w:val="00021909"/>
    <w:rsid w:val="000228B9"/>
    <w:rsid w:val="00023DFC"/>
    <w:rsid w:val="00024C7B"/>
    <w:rsid w:val="00026D5E"/>
    <w:rsid w:val="00037E62"/>
    <w:rsid w:val="000462A4"/>
    <w:rsid w:val="00047FBD"/>
    <w:rsid w:val="00050986"/>
    <w:rsid w:val="00052813"/>
    <w:rsid w:val="00064176"/>
    <w:rsid w:val="00064A74"/>
    <w:rsid w:val="00064FEE"/>
    <w:rsid w:val="00065CD3"/>
    <w:rsid w:val="00070100"/>
    <w:rsid w:val="00071390"/>
    <w:rsid w:val="00073432"/>
    <w:rsid w:val="00073543"/>
    <w:rsid w:val="00073EFC"/>
    <w:rsid w:val="000756DD"/>
    <w:rsid w:val="00075BF4"/>
    <w:rsid w:val="000765D1"/>
    <w:rsid w:val="000827E7"/>
    <w:rsid w:val="00086F72"/>
    <w:rsid w:val="00094143"/>
    <w:rsid w:val="00095C17"/>
    <w:rsid w:val="000A15FC"/>
    <w:rsid w:val="000A42A7"/>
    <w:rsid w:val="000A5D1F"/>
    <w:rsid w:val="000A70B7"/>
    <w:rsid w:val="000A74ED"/>
    <w:rsid w:val="000B1526"/>
    <w:rsid w:val="000B1EB5"/>
    <w:rsid w:val="000B2275"/>
    <w:rsid w:val="000B2736"/>
    <w:rsid w:val="000B2AA4"/>
    <w:rsid w:val="000B4ACC"/>
    <w:rsid w:val="000B4DA1"/>
    <w:rsid w:val="000C6FC4"/>
    <w:rsid w:val="000D0568"/>
    <w:rsid w:val="000D093B"/>
    <w:rsid w:val="000D0A8F"/>
    <w:rsid w:val="000D6D5F"/>
    <w:rsid w:val="000D7F8F"/>
    <w:rsid w:val="000E1B01"/>
    <w:rsid w:val="000E48D5"/>
    <w:rsid w:val="000F7945"/>
    <w:rsid w:val="00105914"/>
    <w:rsid w:val="00106922"/>
    <w:rsid w:val="00106A1C"/>
    <w:rsid w:val="00110CFA"/>
    <w:rsid w:val="00116B47"/>
    <w:rsid w:val="00116B49"/>
    <w:rsid w:val="001170EF"/>
    <w:rsid w:val="00125AAF"/>
    <w:rsid w:val="0012618F"/>
    <w:rsid w:val="0013122E"/>
    <w:rsid w:val="001313E8"/>
    <w:rsid w:val="001327FC"/>
    <w:rsid w:val="0013616A"/>
    <w:rsid w:val="0014357C"/>
    <w:rsid w:val="001437F8"/>
    <w:rsid w:val="00154FD2"/>
    <w:rsid w:val="0016390D"/>
    <w:rsid w:val="00164104"/>
    <w:rsid w:val="001649BA"/>
    <w:rsid w:val="00164A07"/>
    <w:rsid w:val="001746E3"/>
    <w:rsid w:val="001752F0"/>
    <w:rsid w:val="001768DA"/>
    <w:rsid w:val="00176EE3"/>
    <w:rsid w:val="00180360"/>
    <w:rsid w:val="0018050F"/>
    <w:rsid w:val="00182EF4"/>
    <w:rsid w:val="00185776"/>
    <w:rsid w:val="00185937"/>
    <w:rsid w:val="00186763"/>
    <w:rsid w:val="001908BE"/>
    <w:rsid w:val="0019367C"/>
    <w:rsid w:val="00193B71"/>
    <w:rsid w:val="00194447"/>
    <w:rsid w:val="001964E7"/>
    <w:rsid w:val="001A47D9"/>
    <w:rsid w:val="001A6311"/>
    <w:rsid w:val="001B17AE"/>
    <w:rsid w:val="001B2630"/>
    <w:rsid w:val="001B7972"/>
    <w:rsid w:val="001C2815"/>
    <w:rsid w:val="001C4435"/>
    <w:rsid w:val="001D0A7E"/>
    <w:rsid w:val="001D5EA2"/>
    <w:rsid w:val="001E0070"/>
    <w:rsid w:val="001E4DBB"/>
    <w:rsid w:val="001E5577"/>
    <w:rsid w:val="001E6ED2"/>
    <w:rsid w:val="001F0164"/>
    <w:rsid w:val="001F22F5"/>
    <w:rsid w:val="001F4821"/>
    <w:rsid w:val="001F5416"/>
    <w:rsid w:val="00206534"/>
    <w:rsid w:val="00206EB9"/>
    <w:rsid w:val="00207189"/>
    <w:rsid w:val="00211C17"/>
    <w:rsid w:val="002142D1"/>
    <w:rsid w:val="00215E02"/>
    <w:rsid w:val="0021763B"/>
    <w:rsid w:val="00222D7E"/>
    <w:rsid w:val="00223B12"/>
    <w:rsid w:val="00223E8C"/>
    <w:rsid w:val="0022671B"/>
    <w:rsid w:val="00227358"/>
    <w:rsid w:val="0023084B"/>
    <w:rsid w:val="00230D6D"/>
    <w:rsid w:val="002312CE"/>
    <w:rsid w:val="0023193C"/>
    <w:rsid w:val="00241503"/>
    <w:rsid w:val="00246968"/>
    <w:rsid w:val="00251C8E"/>
    <w:rsid w:val="00252CEE"/>
    <w:rsid w:val="002548A4"/>
    <w:rsid w:val="0025565D"/>
    <w:rsid w:val="00255CFD"/>
    <w:rsid w:val="00255DBD"/>
    <w:rsid w:val="00257470"/>
    <w:rsid w:val="0026774D"/>
    <w:rsid w:val="0027315F"/>
    <w:rsid w:val="002746B5"/>
    <w:rsid w:val="002760B0"/>
    <w:rsid w:val="002771E7"/>
    <w:rsid w:val="00282354"/>
    <w:rsid w:val="00284245"/>
    <w:rsid w:val="00293ECA"/>
    <w:rsid w:val="00293F13"/>
    <w:rsid w:val="002A39AE"/>
    <w:rsid w:val="002A3D6F"/>
    <w:rsid w:val="002A5099"/>
    <w:rsid w:val="002B3287"/>
    <w:rsid w:val="002B3633"/>
    <w:rsid w:val="002B4408"/>
    <w:rsid w:val="002B6D75"/>
    <w:rsid w:val="002B6E15"/>
    <w:rsid w:val="002C224A"/>
    <w:rsid w:val="002C3B3F"/>
    <w:rsid w:val="002C5B33"/>
    <w:rsid w:val="002C7FEE"/>
    <w:rsid w:val="002D0E2C"/>
    <w:rsid w:val="002D5134"/>
    <w:rsid w:val="002D52F7"/>
    <w:rsid w:val="002D5DB7"/>
    <w:rsid w:val="002E174A"/>
    <w:rsid w:val="002E1998"/>
    <w:rsid w:val="002E66F2"/>
    <w:rsid w:val="002E6792"/>
    <w:rsid w:val="002E6A23"/>
    <w:rsid w:val="002F3C1A"/>
    <w:rsid w:val="002F6D3F"/>
    <w:rsid w:val="00300C51"/>
    <w:rsid w:val="00301597"/>
    <w:rsid w:val="003155F2"/>
    <w:rsid w:val="0031641F"/>
    <w:rsid w:val="0032025D"/>
    <w:rsid w:val="003267CC"/>
    <w:rsid w:val="0032795A"/>
    <w:rsid w:val="0033053C"/>
    <w:rsid w:val="0033080F"/>
    <w:rsid w:val="003312EE"/>
    <w:rsid w:val="0033305D"/>
    <w:rsid w:val="0033323C"/>
    <w:rsid w:val="00334E43"/>
    <w:rsid w:val="0033659E"/>
    <w:rsid w:val="0033690F"/>
    <w:rsid w:val="00337016"/>
    <w:rsid w:val="00337537"/>
    <w:rsid w:val="003378FF"/>
    <w:rsid w:val="00340A32"/>
    <w:rsid w:val="00342A30"/>
    <w:rsid w:val="00344483"/>
    <w:rsid w:val="003465A4"/>
    <w:rsid w:val="00347E45"/>
    <w:rsid w:val="00351FFB"/>
    <w:rsid w:val="003540EF"/>
    <w:rsid w:val="00354C6B"/>
    <w:rsid w:val="00357090"/>
    <w:rsid w:val="00361FFA"/>
    <w:rsid w:val="00363B57"/>
    <w:rsid w:val="00363D41"/>
    <w:rsid w:val="00365C55"/>
    <w:rsid w:val="00374550"/>
    <w:rsid w:val="00376CD7"/>
    <w:rsid w:val="00381377"/>
    <w:rsid w:val="0038195B"/>
    <w:rsid w:val="003871BD"/>
    <w:rsid w:val="003878BB"/>
    <w:rsid w:val="0039066A"/>
    <w:rsid w:val="00391329"/>
    <w:rsid w:val="00396E5D"/>
    <w:rsid w:val="003A10C0"/>
    <w:rsid w:val="003A1252"/>
    <w:rsid w:val="003A129C"/>
    <w:rsid w:val="003A59D3"/>
    <w:rsid w:val="003B1B05"/>
    <w:rsid w:val="003B7D07"/>
    <w:rsid w:val="003C04F6"/>
    <w:rsid w:val="003C186C"/>
    <w:rsid w:val="003C30B5"/>
    <w:rsid w:val="003C5103"/>
    <w:rsid w:val="003D00AC"/>
    <w:rsid w:val="003D21F4"/>
    <w:rsid w:val="003D34FA"/>
    <w:rsid w:val="003D79DD"/>
    <w:rsid w:val="003E054B"/>
    <w:rsid w:val="003E32D8"/>
    <w:rsid w:val="003E42BD"/>
    <w:rsid w:val="003E4785"/>
    <w:rsid w:val="003E722B"/>
    <w:rsid w:val="003F0E81"/>
    <w:rsid w:val="003F5436"/>
    <w:rsid w:val="003F72D9"/>
    <w:rsid w:val="003F73F3"/>
    <w:rsid w:val="00401682"/>
    <w:rsid w:val="00401CD6"/>
    <w:rsid w:val="00403A8A"/>
    <w:rsid w:val="00412418"/>
    <w:rsid w:val="00412F90"/>
    <w:rsid w:val="0041335E"/>
    <w:rsid w:val="004159BE"/>
    <w:rsid w:val="00416051"/>
    <w:rsid w:val="00423124"/>
    <w:rsid w:val="0042386D"/>
    <w:rsid w:val="00423921"/>
    <w:rsid w:val="0042522F"/>
    <w:rsid w:val="00426C92"/>
    <w:rsid w:val="00433213"/>
    <w:rsid w:val="00435295"/>
    <w:rsid w:val="004363AE"/>
    <w:rsid w:val="00436EF8"/>
    <w:rsid w:val="0043781D"/>
    <w:rsid w:val="00443350"/>
    <w:rsid w:val="00450112"/>
    <w:rsid w:val="00453E7C"/>
    <w:rsid w:val="004674D9"/>
    <w:rsid w:val="00467D51"/>
    <w:rsid w:val="00471EDF"/>
    <w:rsid w:val="004728AD"/>
    <w:rsid w:val="00472F3A"/>
    <w:rsid w:val="00473130"/>
    <w:rsid w:val="0047476C"/>
    <w:rsid w:val="0047610C"/>
    <w:rsid w:val="00480977"/>
    <w:rsid w:val="004828E6"/>
    <w:rsid w:val="004847F8"/>
    <w:rsid w:val="00486862"/>
    <w:rsid w:val="00487293"/>
    <w:rsid w:val="004A16BB"/>
    <w:rsid w:val="004A28AD"/>
    <w:rsid w:val="004A632A"/>
    <w:rsid w:val="004A6FC7"/>
    <w:rsid w:val="004B087E"/>
    <w:rsid w:val="004B1F87"/>
    <w:rsid w:val="004B2E90"/>
    <w:rsid w:val="004B55BB"/>
    <w:rsid w:val="004C01C8"/>
    <w:rsid w:val="004C4570"/>
    <w:rsid w:val="004C5284"/>
    <w:rsid w:val="004D20E2"/>
    <w:rsid w:val="004D4778"/>
    <w:rsid w:val="004D7C24"/>
    <w:rsid w:val="004F064D"/>
    <w:rsid w:val="004F0B51"/>
    <w:rsid w:val="004F16C4"/>
    <w:rsid w:val="004F2175"/>
    <w:rsid w:val="004F362E"/>
    <w:rsid w:val="004F4DB6"/>
    <w:rsid w:val="00501739"/>
    <w:rsid w:val="00502D7A"/>
    <w:rsid w:val="00505705"/>
    <w:rsid w:val="00513865"/>
    <w:rsid w:val="00514884"/>
    <w:rsid w:val="005156BA"/>
    <w:rsid w:val="00517FB0"/>
    <w:rsid w:val="00527195"/>
    <w:rsid w:val="00533126"/>
    <w:rsid w:val="005342AB"/>
    <w:rsid w:val="00536812"/>
    <w:rsid w:val="005420BB"/>
    <w:rsid w:val="00545582"/>
    <w:rsid w:val="00545DD0"/>
    <w:rsid w:val="005466E7"/>
    <w:rsid w:val="00547326"/>
    <w:rsid w:val="00555445"/>
    <w:rsid w:val="00556FA4"/>
    <w:rsid w:val="00563634"/>
    <w:rsid w:val="00563C6F"/>
    <w:rsid w:val="00576B3F"/>
    <w:rsid w:val="00583646"/>
    <w:rsid w:val="0058448D"/>
    <w:rsid w:val="00591CD6"/>
    <w:rsid w:val="0059211B"/>
    <w:rsid w:val="0059378F"/>
    <w:rsid w:val="00594BAF"/>
    <w:rsid w:val="005A3EDC"/>
    <w:rsid w:val="005A7999"/>
    <w:rsid w:val="005A7FC7"/>
    <w:rsid w:val="005B017E"/>
    <w:rsid w:val="005B04BB"/>
    <w:rsid w:val="005B0E0F"/>
    <w:rsid w:val="005B26B3"/>
    <w:rsid w:val="005B7D66"/>
    <w:rsid w:val="005C0E6E"/>
    <w:rsid w:val="005C124E"/>
    <w:rsid w:val="005C1783"/>
    <w:rsid w:val="005C505D"/>
    <w:rsid w:val="005C52A7"/>
    <w:rsid w:val="005C7468"/>
    <w:rsid w:val="005D3B4B"/>
    <w:rsid w:val="005D4FC0"/>
    <w:rsid w:val="005D719F"/>
    <w:rsid w:val="005D730B"/>
    <w:rsid w:val="005E06DD"/>
    <w:rsid w:val="005E0B22"/>
    <w:rsid w:val="005E0B3A"/>
    <w:rsid w:val="005E12BE"/>
    <w:rsid w:val="005F14E6"/>
    <w:rsid w:val="005F2FC5"/>
    <w:rsid w:val="005F365F"/>
    <w:rsid w:val="005F595F"/>
    <w:rsid w:val="005F5C76"/>
    <w:rsid w:val="005F6020"/>
    <w:rsid w:val="005F712A"/>
    <w:rsid w:val="00600ECA"/>
    <w:rsid w:val="006048B6"/>
    <w:rsid w:val="006054C5"/>
    <w:rsid w:val="006072ED"/>
    <w:rsid w:val="00615B31"/>
    <w:rsid w:val="00622852"/>
    <w:rsid w:val="0062341E"/>
    <w:rsid w:val="006242C7"/>
    <w:rsid w:val="0063480E"/>
    <w:rsid w:val="00634EE1"/>
    <w:rsid w:val="00635218"/>
    <w:rsid w:val="00643DB3"/>
    <w:rsid w:val="00645208"/>
    <w:rsid w:val="006475FD"/>
    <w:rsid w:val="00650ABD"/>
    <w:rsid w:val="00653FD6"/>
    <w:rsid w:val="00662B50"/>
    <w:rsid w:val="00664E53"/>
    <w:rsid w:val="006705F2"/>
    <w:rsid w:val="0067372C"/>
    <w:rsid w:val="006756B0"/>
    <w:rsid w:val="0067589F"/>
    <w:rsid w:val="00682794"/>
    <w:rsid w:val="00683CB2"/>
    <w:rsid w:val="00683FCB"/>
    <w:rsid w:val="006866B0"/>
    <w:rsid w:val="006876F8"/>
    <w:rsid w:val="00687F80"/>
    <w:rsid w:val="00690486"/>
    <w:rsid w:val="006924D5"/>
    <w:rsid w:val="006A1544"/>
    <w:rsid w:val="006A325F"/>
    <w:rsid w:val="006A3DE9"/>
    <w:rsid w:val="006A542B"/>
    <w:rsid w:val="006B643F"/>
    <w:rsid w:val="006B736A"/>
    <w:rsid w:val="006C1395"/>
    <w:rsid w:val="006C2B7B"/>
    <w:rsid w:val="006C6AA2"/>
    <w:rsid w:val="006D0927"/>
    <w:rsid w:val="006D39AE"/>
    <w:rsid w:val="006D60E7"/>
    <w:rsid w:val="006D617E"/>
    <w:rsid w:val="006D74B5"/>
    <w:rsid w:val="006D7863"/>
    <w:rsid w:val="006D7A4B"/>
    <w:rsid w:val="006E0CE1"/>
    <w:rsid w:val="006E23B5"/>
    <w:rsid w:val="006E5208"/>
    <w:rsid w:val="006F272E"/>
    <w:rsid w:val="006F61E7"/>
    <w:rsid w:val="006F6E51"/>
    <w:rsid w:val="00701DB7"/>
    <w:rsid w:val="00702110"/>
    <w:rsid w:val="0070575B"/>
    <w:rsid w:val="00707EC7"/>
    <w:rsid w:val="007162B8"/>
    <w:rsid w:val="00717F1F"/>
    <w:rsid w:val="00720622"/>
    <w:rsid w:val="00720678"/>
    <w:rsid w:val="0072212C"/>
    <w:rsid w:val="00724A78"/>
    <w:rsid w:val="00725D4C"/>
    <w:rsid w:val="00726C4E"/>
    <w:rsid w:val="007306F4"/>
    <w:rsid w:val="00730BFA"/>
    <w:rsid w:val="00730D29"/>
    <w:rsid w:val="00730DB7"/>
    <w:rsid w:val="00735219"/>
    <w:rsid w:val="0074082C"/>
    <w:rsid w:val="00746A8E"/>
    <w:rsid w:val="0076185B"/>
    <w:rsid w:val="00763680"/>
    <w:rsid w:val="00766DF4"/>
    <w:rsid w:val="007670F4"/>
    <w:rsid w:val="007726D6"/>
    <w:rsid w:val="00772758"/>
    <w:rsid w:val="00773206"/>
    <w:rsid w:val="00773DEE"/>
    <w:rsid w:val="00776D89"/>
    <w:rsid w:val="007803A8"/>
    <w:rsid w:val="00781443"/>
    <w:rsid w:val="0078202F"/>
    <w:rsid w:val="0078460C"/>
    <w:rsid w:val="00784E84"/>
    <w:rsid w:val="00787AD9"/>
    <w:rsid w:val="007917C8"/>
    <w:rsid w:val="007929B0"/>
    <w:rsid w:val="00794104"/>
    <w:rsid w:val="00795133"/>
    <w:rsid w:val="00795CB0"/>
    <w:rsid w:val="00796FEB"/>
    <w:rsid w:val="007A0A67"/>
    <w:rsid w:val="007A3610"/>
    <w:rsid w:val="007A5206"/>
    <w:rsid w:val="007B7900"/>
    <w:rsid w:val="007C1245"/>
    <w:rsid w:val="007C2D9F"/>
    <w:rsid w:val="007C352A"/>
    <w:rsid w:val="007C4C2C"/>
    <w:rsid w:val="007C54A8"/>
    <w:rsid w:val="007C7342"/>
    <w:rsid w:val="007D29AE"/>
    <w:rsid w:val="007D46F0"/>
    <w:rsid w:val="007D4EFF"/>
    <w:rsid w:val="007D6054"/>
    <w:rsid w:val="007E0C04"/>
    <w:rsid w:val="007E0EDD"/>
    <w:rsid w:val="007E166C"/>
    <w:rsid w:val="007E54B8"/>
    <w:rsid w:val="007F34F7"/>
    <w:rsid w:val="007F39CD"/>
    <w:rsid w:val="00801C0A"/>
    <w:rsid w:val="00806A19"/>
    <w:rsid w:val="00812786"/>
    <w:rsid w:val="00814B31"/>
    <w:rsid w:val="00817CAD"/>
    <w:rsid w:val="008401B0"/>
    <w:rsid w:val="008403D8"/>
    <w:rsid w:val="00844B54"/>
    <w:rsid w:val="00850A72"/>
    <w:rsid w:val="00850CCA"/>
    <w:rsid w:val="0085354B"/>
    <w:rsid w:val="00855274"/>
    <w:rsid w:val="00856C3C"/>
    <w:rsid w:val="00862977"/>
    <w:rsid w:val="00864178"/>
    <w:rsid w:val="0086646D"/>
    <w:rsid w:val="008701D7"/>
    <w:rsid w:val="0087046D"/>
    <w:rsid w:val="00877C6F"/>
    <w:rsid w:val="0088010B"/>
    <w:rsid w:val="00880B34"/>
    <w:rsid w:val="00881E5D"/>
    <w:rsid w:val="0088588A"/>
    <w:rsid w:val="00892C45"/>
    <w:rsid w:val="00894867"/>
    <w:rsid w:val="00895175"/>
    <w:rsid w:val="00897867"/>
    <w:rsid w:val="00897B1A"/>
    <w:rsid w:val="008A2852"/>
    <w:rsid w:val="008B024A"/>
    <w:rsid w:val="008B0F40"/>
    <w:rsid w:val="008B1C4C"/>
    <w:rsid w:val="008B215A"/>
    <w:rsid w:val="008C0FF1"/>
    <w:rsid w:val="008C284B"/>
    <w:rsid w:val="008C2A46"/>
    <w:rsid w:val="008C2F0F"/>
    <w:rsid w:val="008C3C60"/>
    <w:rsid w:val="008C5213"/>
    <w:rsid w:val="008D117E"/>
    <w:rsid w:val="008D1777"/>
    <w:rsid w:val="008E1A2D"/>
    <w:rsid w:val="008F0CBE"/>
    <w:rsid w:val="008F7B78"/>
    <w:rsid w:val="009019CD"/>
    <w:rsid w:val="00901D99"/>
    <w:rsid w:val="00901F5F"/>
    <w:rsid w:val="009041A0"/>
    <w:rsid w:val="0091452F"/>
    <w:rsid w:val="00917ABD"/>
    <w:rsid w:val="00917C2C"/>
    <w:rsid w:val="009217E3"/>
    <w:rsid w:val="009224CB"/>
    <w:rsid w:val="00923932"/>
    <w:rsid w:val="00924E1A"/>
    <w:rsid w:val="00925DB7"/>
    <w:rsid w:val="0092627E"/>
    <w:rsid w:val="00930293"/>
    <w:rsid w:val="00933EBE"/>
    <w:rsid w:val="0093611F"/>
    <w:rsid w:val="00941755"/>
    <w:rsid w:val="00942A5B"/>
    <w:rsid w:val="00942DE3"/>
    <w:rsid w:val="00943688"/>
    <w:rsid w:val="00947439"/>
    <w:rsid w:val="00950C86"/>
    <w:rsid w:val="0095112B"/>
    <w:rsid w:val="00955F1B"/>
    <w:rsid w:val="00962D1C"/>
    <w:rsid w:val="009759B5"/>
    <w:rsid w:val="00980020"/>
    <w:rsid w:val="00980D5B"/>
    <w:rsid w:val="00987176"/>
    <w:rsid w:val="00990FDF"/>
    <w:rsid w:val="00993F3E"/>
    <w:rsid w:val="009972C5"/>
    <w:rsid w:val="009A4017"/>
    <w:rsid w:val="009B4580"/>
    <w:rsid w:val="009B5F33"/>
    <w:rsid w:val="009C10A8"/>
    <w:rsid w:val="009C2D7F"/>
    <w:rsid w:val="009C34ED"/>
    <w:rsid w:val="009C3837"/>
    <w:rsid w:val="009D4551"/>
    <w:rsid w:val="009D758B"/>
    <w:rsid w:val="009E202A"/>
    <w:rsid w:val="009E2450"/>
    <w:rsid w:val="009E25D2"/>
    <w:rsid w:val="009E7FAA"/>
    <w:rsid w:val="009F1954"/>
    <w:rsid w:val="009F2513"/>
    <w:rsid w:val="009F6293"/>
    <w:rsid w:val="00A0137B"/>
    <w:rsid w:val="00A03BBB"/>
    <w:rsid w:val="00A05BD5"/>
    <w:rsid w:val="00A065C1"/>
    <w:rsid w:val="00A0740B"/>
    <w:rsid w:val="00A14B17"/>
    <w:rsid w:val="00A1607F"/>
    <w:rsid w:val="00A17CC9"/>
    <w:rsid w:val="00A22210"/>
    <w:rsid w:val="00A27408"/>
    <w:rsid w:val="00A30BE8"/>
    <w:rsid w:val="00A31C67"/>
    <w:rsid w:val="00A32855"/>
    <w:rsid w:val="00A32973"/>
    <w:rsid w:val="00A33395"/>
    <w:rsid w:val="00A33677"/>
    <w:rsid w:val="00A35545"/>
    <w:rsid w:val="00A411F9"/>
    <w:rsid w:val="00A4614C"/>
    <w:rsid w:val="00A46F62"/>
    <w:rsid w:val="00A52324"/>
    <w:rsid w:val="00A5242A"/>
    <w:rsid w:val="00A526C0"/>
    <w:rsid w:val="00A53EB2"/>
    <w:rsid w:val="00A57951"/>
    <w:rsid w:val="00A57987"/>
    <w:rsid w:val="00A61BCD"/>
    <w:rsid w:val="00A65F5E"/>
    <w:rsid w:val="00A70214"/>
    <w:rsid w:val="00A71A7A"/>
    <w:rsid w:val="00A750D4"/>
    <w:rsid w:val="00A82CFA"/>
    <w:rsid w:val="00A84C4B"/>
    <w:rsid w:val="00A87E20"/>
    <w:rsid w:val="00A931A0"/>
    <w:rsid w:val="00A94803"/>
    <w:rsid w:val="00AA02A9"/>
    <w:rsid w:val="00AA032A"/>
    <w:rsid w:val="00AA21FB"/>
    <w:rsid w:val="00AA2671"/>
    <w:rsid w:val="00AA420C"/>
    <w:rsid w:val="00AB14DB"/>
    <w:rsid w:val="00AB389D"/>
    <w:rsid w:val="00AB4A77"/>
    <w:rsid w:val="00AB5C98"/>
    <w:rsid w:val="00AC0D29"/>
    <w:rsid w:val="00AC238C"/>
    <w:rsid w:val="00AC5030"/>
    <w:rsid w:val="00AC7C37"/>
    <w:rsid w:val="00AD0AF6"/>
    <w:rsid w:val="00AD1560"/>
    <w:rsid w:val="00AD3941"/>
    <w:rsid w:val="00AD4B88"/>
    <w:rsid w:val="00AD5908"/>
    <w:rsid w:val="00AE49E1"/>
    <w:rsid w:val="00AF1031"/>
    <w:rsid w:val="00B00011"/>
    <w:rsid w:val="00B01E7A"/>
    <w:rsid w:val="00B03DD2"/>
    <w:rsid w:val="00B05346"/>
    <w:rsid w:val="00B079C0"/>
    <w:rsid w:val="00B1230A"/>
    <w:rsid w:val="00B126C4"/>
    <w:rsid w:val="00B14BD1"/>
    <w:rsid w:val="00B14CD2"/>
    <w:rsid w:val="00B14D26"/>
    <w:rsid w:val="00B206BD"/>
    <w:rsid w:val="00B20C6C"/>
    <w:rsid w:val="00B211DA"/>
    <w:rsid w:val="00B2263D"/>
    <w:rsid w:val="00B242A5"/>
    <w:rsid w:val="00B24B0F"/>
    <w:rsid w:val="00B25BFD"/>
    <w:rsid w:val="00B30BAA"/>
    <w:rsid w:val="00B33493"/>
    <w:rsid w:val="00B36B25"/>
    <w:rsid w:val="00B412C3"/>
    <w:rsid w:val="00B41A82"/>
    <w:rsid w:val="00B55E9B"/>
    <w:rsid w:val="00B63568"/>
    <w:rsid w:val="00B66F1D"/>
    <w:rsid w:val="00B67B12"/>
    <w:rsid w:val="00B67FE7"/>
    <w:rsid w:val="00B76A89"/>
    <w:rsid w:val="00B820A2"/>
    <w:rsid w:val="00B82236"/>
    <w:rsid w:val="00B836A2"/>
    <w:rsid w:val="00B83BE0"/>
    <w:rsid w:val="00B855C7"/>
    <w:rsid w:val="00B9174D"/>
    <w:rsid w:val="00B9399E"/>
    <w:rsid w:val="00B94291"/>
    <w:rsid w:val="00BA3F46"/>
    <w:rsid w:val="00BA6BF6"/>
    <w:rsid w:val="00BB1F70"/>
    <w:rsid w:val="00BB38FE"/>
    <w:rsid w:val="00BB4C10"/>
    <w:rsid w:val="00BB790B"/>
    <w:rsid w:val="00BC026E"/>
    <w:rsid w:val="00BC1E86"/>
    <w:rsid w:val="00BC349C"/>
    <w:rsid w:val="00BC3811"/>
    <w:rsid w:val="00BC56F2"/>
    <w:rsid w:val="00BD0169"/>
    <w:rsid w:val="00BD4268"/>
    <w:rsid w:val="00BD446F"/>
    <w:rsid w:val="00BD5582"/>
    <w:rsid w:val="00BD5ECC"/>
    <w:rsid w:val="00BD682D"/>
    <w:rsid w:val="00BE0E8C"/>
    <w:rsid w:val="00BE10B9"/>
    <w:rsid w:val="00BE4225"/>
    <w:rsid w:val="00BE539D"/>
    <w:rsid w:val="00BE7268"/>
    <w:rsid w:val="00BF4697"/>
    <w:rsid w:val="00BF599C"/>
    <w:rsid w:val="00BF63EC"/>
    <w:rsid w:val="00C00E9B"/>
    <w:rsid w:val="00C01FAA"/>
    <w:rsid w:val="00C10074"/>
    <w:rsid w:val="00C1093A"/>
    <w:rsid w:val="00C11A9A"/>
    <w:rsid w:val="00C171C1"/>
    <w:rsid w:val="00C217A0"/>
    <w:rsid w:val="00C25326"/>
    <w:rsid w:val="00C27C74"/>
    <w:rsid w:val="00C35F6C"/>
    <w:rsid w:val="00C36915"/>
    <w:rsid w:val="00C36D97"/>
    <w:rsid w:val="00C408B3"/>
    <w:rsid w:val="00C40915"/>
    <w:rsid w:val="00C43418"/>
    <w:rsid w:val="00C47DFA"/>
    <w:rsid w:val="00C50354"/>
    <w:rsid w:val="00C525A3"/>
    <w:rsid w:val="00C532B2"/>
    <w:rsid w:val="00C54497"/>
    <w:rsid w:val="00C54921"/>
    <w:rsid w:val="00C549D5"/>
    <w:rsid w:val="00C5504B"/>
    <w:rsid w:val="00C600AC"/>
    <w:rsid w:val="00C61F3C"/>
    <w:rsid w:val="00C62CF3"/>
    <w:rsid w:val="00C65ACA"/>
    <w:rsid w:val="00C66AC7"/>
    <w:rsid w:val="00C66FA2"/>
    <w:rsid w:val="00C72180"/>
    <w:rsid w:val="00C74228"/>
    <w:rsid w:val="00C747D3"/>
    <w:rsid w:val="00C7744A"/>
    <w:rsid w:val="00C81295"/>
    <w:rsid w:val="00C83809"/>
    <w:rsid w:val="00C83CEF"/>
    <w:rsid w:val="00C84E13"/>
    <w:rsid w:val="00C91F74"/>
    <w:rsid w:val="00C9527D"/>
    <w:rsid w:val="00CA1374"/>
    <w:rsid w:val="00CA49E5"/>
    <w:rsid w:val="00CA4D45"/>
    <w:rsid w:val="00CB1DFF"/>
    <w:rsid w:val="00CB3474"/>
    <w:rsid w:val="00CB368A"/>
    <w:rsid w:val="00CB474E"/>
    <w:rsid w:val="00CB5544"/>
    <w:rsid w:val="00CC1129"/>
    <w:rsid w:val="00CC531B"/>
    <w:rsid w:val="00CC6618"/>
    <w:rsid w:val="00CD1EC5"/>
    <w:rsid w:val="00CD325B"/>
    <w:rsid w:val="00CD35CD"/>
    <w:rsid w:val="00CD3876"/>
    <w:rsid w:val="00CD4619"/>
    <w:rsid w:val="00CE0CA1"/>
    <w:rsid w:val="00CE606B"/>
    <w:rsid w:val="00CF0E9A"/>
    <w:rsid w:val="00CF1115"/>
    <w:rsid w:val="00CF40CB"/>
    <w:rsid w:val="00CF4963"/>
    <w:rsid w:val="00CF633F"/>
    <w:rsid w:val="00CF710D"/>
    <w:rsid w:val="00D00AD1"/>
    <w:rsid w:val="00D024EB"/>
    <w:rsid w:val="00D0264D"/>
    <w:rsid w:val="00D05A60"/>
    <w:rsid w:val="00D06D8E"/>
    <w:rsid w:val="00D12E8A"/>
    <w:rsid w:val="00D13571"/>
    <w:rsid w:val="00D13F5E"/>
    <w:rsid w:val="00D15D86"/>
    <w:rsid w:val="00D212B3"/>
    <w:rsid w:val="00D21A79"/>
    <w:rsid w:val="00D21DBD"/>
    <w:rsid w:val="00D25471"/>
    <w:rsid w:val="00D41918"/>
    <w:rsid w:val="00D463DD"/>
    <w:rsid w:val="00D47B23"/>
    <w:rsid w:val="00D50149"/>
    <w:rsid w:val="00D5139C"/>
    <w:rsid w:val="00D5294C"/>
    <w:rsid w:val="00D52C3C"/>
    <w:rsid w:val="00D63349"/>
    <w:rsid w:val="00D65F66"/>
    <w:rsid w:val="00D66C43"/>
    <w:rsid w:val="00D67D2C"/>
    <w:rsid w:val="00D72208"/>
    <w:rsid w:val="00D752CD"/>
    <w:rsid w:val="00D76088"/>
    <w:rsid w:val="00D772B4"/>
    <w:rsid w:val="00D83AC4"/>
    <w:rsid w:val="00D8684E"/>
    <w:rsid w:val="00D90903"/>
    <w:rsid w:val="00DA1077"/>
    <w:rsid w:val="00DA2A59"/>
    <w:rsid w:val="00DA5D75"/>
    <w:rsid w:val="00DA721A"/>
    <w:rsid w:val="00DB3011"/>
    <w:rsid w:val="00DB4A5D"/>
    <w:rsid w:val="00DB6E1E"/>
    <w:rsid w:val="00DC20EF"/>
    <w:rsid w:val="00DC40E9"/>
    <w:rsid w:val="00DC7230"/>
    <w:rsid w:val="00DC7D48"/>
    <w:rsid w:val="00DD0AC9"/>
    <w:rsid w:val="00DD3EF7"/>
    <w:rsid w:val="00DD4C68"/>
    <w:rsid w:val="00DD75DD"/>
    <w:rsid w:val="00DE1D6F"/>
    <w:rsid w:val="00DE264E"/>
    <w:rsid w:val="00DE2F96"/>
    <w:rsid w:val="00DE5724"/>
    <w:rsid w:val="00DE6F00"/>
    <w:rsid w:val="00DE7072"/>
    <w:rsid w:val="00DF46D9"/>
    <w:rsid w:val="00DF7C52"/>
    <w:rsid w:val="00E00E0C"/>
    <w:rsid w:val="00E0359F"/>
    <w:rsid w:val="00E03C62"/>
    <w:rsid w:val="00E064E2"/>
    <w:rsid w:val="00E10707"/>
    <w:rsid w:val="00E17DA1"/>
    <w:rsid w:val="00E20CF9"/>
    <w:rsid w:val="00E24077"/>
    <w:rsid w:val="00E3756F"/>
    <w:rsid w:val="00E41796"/>
    <w:rsid w:val="00E420E1"/>
    <w:rsid w:val="00E439DF"/>
    <w:rsid w:val="00E43B43"/>
    <w:rsid w:val="00E44E3F"/>
    <w:rsid w:val="00E50C40"/>
    <w:rsid w:val="00E516DE"/>
    <w:rsid w:val="00E54046"/>
    <w:rsid w:val="00E56260"/>
    <w:rsid w:val="00E61D0E"/>
    <w:rsid w:val="00E64136"/>
    <w:rsid w:val="00E7006B"/>
    <w:rsid w:val="00E72D2C"/>
    <w:rsid w:val="00E75658"/>
    <w:rsid w:val="00E77419"/>
    <w:rsid w:val="00E831EC"/>
    <w:rsid w:val="00E85D11"/>
    <w:rsid w:val="00E87C61"/>
    <w:rsid w:val="00E914A2"/>
    <w:rsid w:val="00E9797C"/>
    <w:rsid w:val="00EB309D"/>
    <w:rsid w:val="00EC4A88"/>
    <w:rsid w:val="00EC5F7D"/>
    <w:rsid w:val="00EC7AF8"/>
    <w:rsid w:val="00ED01E3"/>
    <w:rsid w:val="00ED3D08"/>
    <w:rsid w:val="00ED686F"/>
    <w:rsid w:val="00ED74D4"/>
    <w:rsid w:val="00EE26D7"/>
    <w:rsid w:val="00EE3D7F"/>
    <w:rsid w:val="00EE597F"/>
    <w:rsid w:val="00EF1061"/>
    <w:rsid w:val="00EF548B"/>
    <w:rsid w:val="00EF592F"/>
    <w:rsid w:val="00EF7CE7"/>
    <w:rsid w:val="00F011C2"/>
    <w:rsid w:val="00F062DD"/>
    <w:rsid w:val="00F11128"/>
    <w:rsid w:val="00F162FD"/>
    <w:rsid w:val="00F25214"/>
    <w:rsid w:val="00F26D0E"/>
    <w:rsid w:val="00F319D0"/>
    <w:rsid w:val="00F34ADC"/>
    <w:rsid w:val="00F34B93"/>
    <w:rsid w:val="00F365DF"/>
    <w:rsid w:val="00F40AD0"/>
    <w:rsid w:val="00F4139A"/>
    <w:rsid w:val="00F41880"/>
    <w:rsid w:val="00F52FF5"/>
    <w:rsid w:val="00F62266"/>
    <w:rsid w:val="00F65800"/>
    <w:rsid w:val="00F71B70"/>
    <w:rsid w:val="00F82A24"/>
    <w:rsid w:val="00F833F5"/>
    <w:rsid w:val="00F91095"/>
    <w:rsid w:val="00F939F8"/>
    <w:rsid w:val="00F95DB8"/>
    <w:rsid w:val="00FB3CBF"/>
    <w:rsid w:val="00FB4B99"/>
    <w:rsid w:val="00FB6872"/>
    <w:rsid w:val="00FB6923"/>
    <w:rsid w:val="00FB736B"/>
    <w:rsid w:val="00FB798D"/>
    <w:rsid w:val="00FB7C1A"/>
    <w:rsid w:val="00FC2B84"/>
    <w:rsid w:val="00FC458E"/>
    <w:rsid w:val="00FC6A8A"/>
    <w:rsid w:val="00FC6D7F"/>
    <w:rsid w:val="00FD0419"/>
    <w:rsid w:val="00FD07AF"/>
    <w:rsid w:val="00FD1DAC"/>
    <w:rsid w:val="00FD3FCA"/>
    <w:rsid w:val="00FD485D"/>
    <w:rsid w:val="00FD5215"/>
    <w:rsid w:val="00FD5360"/>
    <w:rsid w:val="00FD5C37"/>
    <w:rsid w:val="00FD6910"/>
    <w:rsid w:val="00FE3645"/>
    <w:rsid w:val="00FE7F0F"/>
    <w:rsid w:val="00FF1C39"/>
    <w:rsid w:val="00FF396F"/>
    <w:rsid w:val="00FF6294"/>
    <w:rsid w:val="17F7D1C2"/>
    <w:rsid w:val="2EE607A8"/>
    <w:rsid w:val="2F55BFD7"/>
    <w:rsid w:val="576AD13E"/>
    <w:rsid w:val="5B5E792D"/>
    <w:rsid w:val="5FEF09DB"/>
    <w:rsid w:val="5FFF09C1"/>
    <w:rsid w:val="6C5FD9E9"/>
    <w:rsid w:val="6FEEE2DA"/>
    <w:rsid w:val="6FFFCD64"/>
    <w:rsid w:val="74CFF3FC"/>
    <w:rsid w:val="765F7149"/>
    <w:rsid w:val="76FB8457"/>
    <w:rsid w:val="777F02FC"/>
    <w:rsid w:val="7E7FECFE"/>
    <w:rsid w:val="7EF97B33"/>
    <w:rsid w:val="7FBF3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annotation subject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uiPriority w:val="99"/>
    <w:semiHidden/>
    <w:unhideWhenUsed/>
    <w:qFormat/>
    <w:rPr>
      <w:b/>
      <w:bCs/>
    </w:rPr>
  </w:style>
  <w:style w:type="paragraph" w:styleId="a4">
    <w:name w:val="annotation text"/>
    <w:basedOn w:val="a"/>
    <w:link w:val="Char0"/>
    <w:uiPriority w:val="99"/>
    <w:semiHidden/>
    <w:unhideWhenUsed/>
    <w:qFormat/>
    <w:pPr>
      <w:jc w:val="left"/>
    </w:pPr>
  </w:style>
  <w:style w:type="paragraph" w:styleId="a5">
    <w:name w:val="Date"/>
    <w:basedOn w:val="a"/>
    <w:next w:val="a"/>
    <w:link w:val="Char1"/>
    <w:uiPriority w:val="99"/>
    <w:semiHidden/>
    <w:unhideWhenUsed/>
    <w:qFormat/>
    <w:pPr>
      <w:ind w:leftChars="2500" w:left="100"/>
    </w:pPr>
  </w:style>
  <w:style w:type="paragraph" w:styleId="a6">
    <w:name w:val="Balloon Text"/>
    <w:basedOn w:val="a"/>
    <w:link w:val="Char2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Char3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header"/>
    <w:basedOn w:val="a"/>
    <w:link w:val="Char4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9">
    <w:name w:val="annotation reference"/>
    <w:basedOn w:val="a0"/>
    <w:uiPriority w:val="99"/>
    <w:semiHidden/>
    <w:unhideWhenUsed/>
    <w:qFormat/>
    <w:rPr>
      <w:sz w:val="21"/>
      <w:szCs w:val="21"/>
    </w:rPr>
  </w:style>
  <w:style w:type="table" w:styleId="aa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4">
    <w:name w:val="页眉 Char"/>
    <w:basedOn w:val="a0"/>
    <w:link w:val="a8"/>
    <w:uiPriority w:val="99"/>
    <w:qFormat/>
    <w:rPr>
      <w:sz w:val="18"/>
      <w:szCs w:val="18"/>
    </w:rPr>
  </w:style>
  <w:style w:type="character" w:customStyle="1" w:styleId="Char3">
    <w:name w:val="页脚 Char"/>
    <w:basedOn w:val="a0"/>
    <w:link w:val="a7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日期 Char"/>
    <w:basedOn w:val="a0"/>
    <w:link w:val="a5"/>
    <w:uiPriority w:val="99"/>
    <w:semiHidden/>
    <w:qFormat/>
    <w:rPr>
      <w:rFonts w:ascii="Calibri" w:eastAsia="宋体" w:hAnsi="Calibri" w:cs="Calibri"/>
      <w:szCs w:val="21"/>
    </w:rPr>
  </w:style>
  <w:style w:type="character" w:customStyle="1" w:styleId="Char2">
    <w:name w:val="批注框文本 Char"/>
    <w:basedOn w:val="a0"/>
    <w:link w:val="a6"/>
    <w:uiPriority w:val="99"/>
    <w:semiHidden/>
    <w:qFormat/>
    <w:rPr>
      <w:rFonts w:ascii="Calibri" w:eastAsia="宋体" w:hAnsi="Calibri" w:cs="Calibri"/>
      <w:sz w:val="18"/>
      <w:szCs w:val="18"/>
    </w:rPr>
  </w:style>
  <w:style w:type="character" w:customStyle="1" w:styleId="Char0">
    <w:name w:val="批注文字 Char"/>
    <w:basedOn w:val="a0"/>
    <w:link w:val="a4"/>
    <w:uiPriority w:val="99"/>
    <w:semiHidden/>
    <w:qFormat/>
    <w:rPr>
      <w:rFonts w:ascii="Calibri" w:eastAsia="宋体" w:hAnsi="Calibri" w:cs="Calibri"/>
      <w:szCs w:val="21"/>
    </w:rPr>
  </w:style>
  <w:style w:type="character" w:customStyle="1" w:styleId="Char">
    <w:name w:val="批注主题 Char"/>
    <w:basedOn w:val="Char0"/>
    <w:link w:val="a3"/>
    <w:uiPriority w:val="99"/>
    <w:semiHidden/>
    <w:qFormat/>
    <w:rPr>
      <w:rFonts w:ascii="Calibri" w:eastAsia="宋体" w:hAnsi="Calibri" w:cs="Calibri"/>
      <w:b/>
      <w:bCs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annotation subject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uiPriority w:val="99"/>
    <w:semiHidden/>
    <w:unhideWhenUsed/>
    <w:qFormat/>
    <w:rPr>
      <w:b/>
      <w:bCs/>
    </w:rPr>
  </w:style>
  <w:style w:type="paragraph" w:styleId="a4">
    <w:name w:val="annotation text"/>
    <w:basedOn w:val="a"/>
    <w:link w:val="Char0"/>
    <w:uiPriority w:val="99"/>
    <w:semiHidden/>
    <w:unhideWhenUsed/>
    <w:qFormat/>
    <w:pPr>
      <w:jc w:val="left"/>
    </w:pPr>
  </w:style>
  <w:style w:type="paragraph" w:styleId="a5">
    <w:name w:val="Date"/>
    <w:basedOn w:val="a"/>
    <w:next w:val="a"/>
    <w:link w:val="Char1"/>
    <w:uiPriority w:val="99"/>
    <w:semiHidden/>
    <w:unhideWhenUsed/>
    <w:qFormat/>
    <w:pPr>
      <w:ind w:leftChars="2500" w:left="100"/>
    </w:pPr>
  </w:style>
  <w:style w:type="paragraph" w:styleId="a6">
    <w:name w:val="Balloon Text"/>
    <w:basedOn w:val="a"/>
    <w:link w:val="Char2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Char3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header"/>
    <w:basedOn w:val="a"/>
    <w:link w:val="Char4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9">
    <w:name w:val="annotation reference"/>
    <w:basedOn w:val="a0"/>
    <w:uiPriority w:val="99"/>
    <w:semiHidden/>
    <w:unhideWhenUsed/>
    <w:qFormat/>
    <w:rPr>
      <w:sz w:val="21"/>
      <w:szCs w:val="21"/>
    </w:rPr>
  </w:style>
  <w:style w:type="table" w:styleId="aa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4">
    <w:name w:val="页眉 Char"/>
    <w:basedOn w:val="a0"/>
    <w:link w:val="a8"/>
    <w:uiPriority w:val="99"/>
    <w:qFormat/>
    <w:rPr>
      <w:sz w:val="18"/>
      <w:szCs w:val="18"/>
    </w:rPr>
  </w:style>
  <w:style w:type="character" w:customStyle="1" w:styleId="Char3">
    <w:name w:val="页脚 Char"/>
    <w:basedOn w:val="a0"/>
    <w:link w:val="a7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日期 Char"/>
    <w:basedOn w:val="a0"/>
    <w:link w:val="a5"/>
    <w:uiPriority w:val="99"/>
    <w:semiHidden/>
    <w:qFormat/>
    <w:rPr>
      <w:rFonts w:ascii="Calibri" w:eastAsia="宋体" w:hAnsi="Calibri" w:cs="Calibri"/>
      <w:szCs w:val="21"/>
    </w:rPr>
  </w:style>
  <w:style w:type="character" w:customStyle="1" w:styleId="Char2">
    <w:name w:val="批注框文本 Char"/>
    <w:basedOn w:val="a0"/>
    <w:link w:val="a6"/>
    <w:uiPriority w:val="99"/>
    <w:semiHidden/>
    <w:qFormat/>
    <w:rPr>
      <w:rFonts w:ascii="Calibri" w:eastAsia="宋体" w:hAnsi="Calibri" w:cs="Calibri"/>
      <w:sz w:val="18"/>
      <w:szCs w:val="18"/>
    </w:rPr>
  </w:style>
  <w:style w:type="character" w:customStyle="1" w:styleId="Char0">
    <w:name w:val="批注文字 Char"/>
    <w:basedOn w:val="a0"/>
    <w:link w:val="a4"/>
    <w:uiPriority w:val="99"/>
    <w:semiHidden/>
    <w:qFormat/>
    <w:rPr>
      <w:rFonts w:ascii="Calibri" w:eastAsia="宋体" w:hAnsi="Calibri" w:cs="Calibri"/>
      <w:szCs w:val="21"/>
    </w:rPr>
  </w:style>
  <w:style w:type="character" w:customStyle="1" w:styleId="Char">
    <w:name w:val="批注主题 Char"/>
    <w:basedOn w:val="Char0"/>
    <w:link w:val="a3"/>
    <w:uiPriority w:val="99"/>
    <w:semiHidden/>
    <w:qFormat/>
    <w:rPr>
      <w:rFonts w:ascii="Calibri" w:eastAsia="宋体" w:hAnsi="Calibri" w:cs="Calibri"/>
      <w:b/>
      <w:bCs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500</Words>
  <Characters>2853</Characters>
  <Application>Microsoft Office Word</Application>
  <DocSecurity>0</DocSecurity>
  <Lines>23</Lines>
  <Paragraphs>6</Paragraphs>
  <ScaleCrop>false</ScaleCrop>
  <Company/>
  <LinksUpToDate>false</LinksUpToDate>
  <CharactersWithSpaces>3347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zhangzhongyuan</dc:creator>
  <cp:lastModifiedBy>Windows 用户</cp:lastModifiedBy>
  <cp:revision>94</cp:revision>
  <cp:lastPrinted>2019-09-20T22:39:00Z</cp:lastPrinted>
  <dcterms:created xsi:type="dcterms:W3CDTF">2018-07-17T22:35:00Z</dcterms:created>
  <dcterms:modified xsi:type="dcterms:W3CDTF">2019-10-31T06:51:00Z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2052-10.1.0.7492</vt:lpwstr>
  </property>
</Properties>
</file>